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215B" w14:textId="77777777" w:rsidR="00F50BF5" w:rsidRDefault="00F50BF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FD215C" w14:textId="77777777" w:rsidR="00F50BF5" w:rsidRDefault="00C0499D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5FD2183" wp14:editId="75FD218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D215D" w14:textId="77777777" w:rsidR="00F50BF5" w:rsidRDefault="00F50BF5">
      <w:pPr>
        <w:jc w:val="center"/>
        <w:rPr>
          <w:caps/>
          <w:sz w:val="12"/>
          <w:szCs w:val="12"/>
        </w:rPr>
      </w:pPr>
    </w:p>
    <w:p w14:paraId="75FD215E" w14:textId="77777777" w:rsidR="00F50BF5" w:rsidRDefault="00C0499D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5FD215F" w14:textId="77777777" w:rsidR="00F50BF5" w:rsidRDefault="00C0499D">
      <w:pPr>
        <w:jc w:val="center"/>
        <w:rPr>
          <w:b/>
          <w:caps/>
        </w:rPr>
      </w:pPr>
      <w:r>
        <w:rPr>
          <w:b/>
          <w:caps/>
        </w:rPr>
        <w:t>KONCESIJŲ ĮSTATYMO NR. I-1510 3, 22 IR 23 STRAIPSNIŲ IR 7 PRIEDO PAKEITIMO</w:t>
      </w:r>
    </w:p>
    <w:p w14:paraId="75FD2160" w14:textId="77777777" w:rsidR="00F50BF5" w:rsidRDefault="00C0499D">
      <w:pPr>
        <w:jc w:val="center"/>
        <w:rPr>
          <w:caps/>
        </w:rPr>
      </w:pPr>
      <w:r>
        <w:rPr>
          <w:b/>
          <w:caps/>
        </w:rPr>
        <w:t>ĮSTATYMAS</w:t>
      </w:r>
    </w:p>
    <w:p w14:paraId="75FD2161" w14:textId="77777777" w:rsidR="00F50BF5" w:rsidRDefault="00F50BF5">
      <w:pPr>
        <w:jc w:val="center"/>
        <w:rPr>
          <w:b/>
          <w:caps/>
        </w:rPr>
      </w:pPr>
    </w:p>
    <w:p w14:paraId="75FD2162" w14:textId="77777777" w:rsidR="00F50BF5" w:rsidRDefault="00C0499D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XIII-2160</w:t>
      </w:r>
    </w:p>
    <w:p w14:paraId="75FD2163" w14:textId="77777777" w:rsidR="00F50BF5" w:rsidRDefault="00C0499D">
      <w:pPr>
        <w:jc w:val="center"/>
        <w:rPr>
          <w:szCs w:val="24"/>
        </w:rPr>
      </w:pPr>
      <w:r>
        <w:rPr>
          <w:szCs w:val="24"/>
        </w:rPr>
        <w:t>Vilnius</w:t>
      </w:r>
    </w:p>
    <w:p w14:paraId="75FD2164" w14:textId="77777777" w:rsidR="00F50BF5" w:rsidRDefault="00F50BF5">
      <w:pPr>
        <w:jc w:val="center"/>
        <w:rPr>
          <w:sz w:val="22"/>
        </w:rPr>
      </w:pPr>
    </w:p>
    <w:p w14:paraId="75FD2165" w14:textId="77777777" w:rsidR="00F50BF5" w:rsidRDefault="00F50BF5">
      <w:pPr>
        <w:spacing w:line="360" w:lineRule="auto"/>
        <w:ind w:firstLine="720"/>
        <w:jc w:val="both"/>
        <w:rPr>
          <w:sz w:val="16"/>
          <w:szCs w:val="16"/>
        </w:rPr>
      </w:pPr>
    </w:p>
    <w:p w14:paraId="75FD2166" w14:textId="77777777" w:rsidR="00F50BF5" w:rsidRDefault="00F50BF5">
      <w:pPr>
        <w:spacing w:line="360" w:lineRule="auto"/>
        <w:ind w:firstLine="720"/>
        <w:jc w:val="both"/>
        <w:sectPr w:rsidR="00F50B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5FD2167" w14:textId="77777777" w:rsidR="00F50BF5" w:rsidRDefault="00F50BF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5FD2168" w14:textId="77777777" w:rsidR="00F50BF5" w:rsidRDefault="00C0499D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14:paraId="75FD2169" w14:textId="77777777" w:rsidR="00F50BF5" w:rsidRDefault="00C0499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3 straipsnį 6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dalimi:</w:t>
      </w:r>
    </w:p>
    <w:p w14:paraId="75FD216A" w14:textId="77777777" w:rsidR="00F50BF5" w:rsidRDefault="00C0499D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szCs w:val="24"/>
        </w:rPr>
        <w:t>6</w:t>
      </w:r>
      <w:r>
        <w:rPr>
          <w:szCs w:val="24"/>
          <w:vertAlign w:val="superscript"/>
        </w:rPr>
        <w:t>1</w:t>
      </w:r>
      <w:r>
        <w:rPr>
          <w:szCs w:val="24"/>
        </w:rPr>
        <w:t>.</w:t>
      </w:r>
      <w:r>
        <w:rPr>
          <w:b/>
          <w:szCs w:val="24"/>
        </w:rPr>
        <w:t xml:space="preserve"> Informacinė sistema „E. sąskaita“</w:t>
      </w:r>
      <w:r>
        <w:rPr>
          <w:szCs w:val="24"/>
        </w:rPr>
        <w:t xml:space="preserve"> – valstybės informacinė sistema, skirta koncesininkams informacinių technologijų priemonėmis parengti, pateikti ir išsaugoti su koncesijų sutarčių vykdymu susijusias sąskaitas, taip pat gauti informaciją apie suteikiančiajai institucijai pateiktų sąskaitų</w:t>
      </w:r>
      <w:r>
        <w:rPr>
          <w:szCs w:val="24"/>
        </w:rPr>
        <w:t xml:space="preserve"> apmokėjimą.“</w:t>
      </w:r>
    </w:p>
    <w:p w14:paraId="75FD216B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3 straipsnį 12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dalimi:</w:t>
      </w:r>
    </w:p>
    <w:p w14:paraId="75FD216C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12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>.</w:t>
      </w:r>
      <w:r>
        <w:rPr>
          <w:b/>
          <w:bCs/>
          <w:szCs w:val="24"/>
        </w:rPr>
        <w:t xml:space="preserve"> Koncesijos iniciatorius </w:t>
      </w:r>
      <w:r>
        <w:rPr>
          <w:bCs/>
          <w:szCs w:val="24"/>
        </w:rPr>
        <w:t>(toliau – iniciatorius)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– suteikiančiosios institucijos darbuotojas, kuris nurodo poreikį sudaryti koncesijos sutartį ir (ar) parengia techninę specifikaciją ir (ar)</w:t>
      </w:r>
      <w:r>
        <w:rPr>
          <w:bCs/>
          <w:szCs w:val="24"/>
        </w:rPr>
        <w:t xml:space="preserve"> jos projektą</w:t>
      </w:r>
      <w:r>
        <w:rPr>
          <w:szCs w:val="24"/>
        </w:rPr>
        <w:t>.“</w:t>
      </w:r>
    </w:p>
    <w:p w14:paraId="75FD216D" w14:textId="77777777" w:rsidR="00F50BF5" w:rsidRDefault="00C0499D">
      <w:pPr>
        <w:ind w:firstLine="720"/>
        <w:jc w:val="both"/>
        <w:rPr>
          <w:szCs w:val="24"/>
        </w:rPr>
      </w:pPr>
    </w:p>
    <w:p w14:paraId="75FD216E" w14:textId="77777777" w:rsidR="00F50BF5" w:rsidRDefault="00C0499D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 straipsnio pakeitimas</w:t>
      </w:r>
    </w:p>
    <w:p w14:paraId="75FD216F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22 straipsnio 1 dalį ir ją išdėstyti taip:</w:t>
      </w:r>
    </w:p>
    <w:p w14:paraId="75FD2170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Koncesijose kylantiems interesų konfliktams priskiriami atvejai, kai suteikiančiosios institucijos ar įgaliotosios institucijos da</w:t>
      </w:r>
      <w:r>
        <w:rPr>
          <w:szCs w:val="24"/>
        </w:rPr>
        <w:t xml:space="preserve">rbuotojai, </w:t>
      </w:r>
      <w:r>
        <w:rPr>
          <w:bCs/>
          <w:szCs w:val="24"/>
        </w:rPr>
        <w:t xml:space="preserve">iniciatoriai, </w:t>
      </w:r>
      <w:r>
        <w:rPr>
          <w:szCs w:val="24"/>
        </w:rPr>
        <w:t xml:space="preserve">Komisijos nariai ar ekspertai, dalyvaujantys koncesijos suteikimo procedūroje ar galintys daryti įtaką jos rezultatams, turi tiesioginį ar netiesioginį finansinį, ekonominį ar kitokio pobūdžio asmeninį suinteresuotumą, galintį </w:t>
      </w:r>
      <w:r>
        <w:rPr>
          <w:szCs w:val="24"/>
        </w:rPr>
        <w:t>neigiamai paveikti koncesijos suteikimo procedūroje priimamų sprendimų nešališkumą ir nepriklausomumą.“</w:t>
      </w:r>
    </w:p>
    <w:p w14:paraId="75FD2171" w14:textId="77777777" w:rsidR="00F50BF5" w:rsidRDefault="00C0499D">
      <w:pPr>
        <w:ind w:firstLine="720"/>
        <w:jc w:val="both"/>
        <w:rPr>
          <w:szCs w:val="24"/>
        </w:rPr>
      </w:pPr>
    </w:p>
    <w:p w14:paraId="75FD2172" w14:textId="77777777" w:rsidR="00F50BF5" w:rsidRDefault="00C0499D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23 straipsnio pakeitimas</w:t>
      </w:r>
    </w:p>
    <w:p w14:paraId="75FD2173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23 straipsnio 1 dalį ir ją išdėstyti taip:</w:t>
      </w:r>
    </w:p>
    <w:p w14:paraId="75FD2174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. Bet koks suteikiančiosios institucijo</w:t>
      </w:r>
      <w:r>
        <w:rPr>
          <w:szCs w:val="24"/>
        </w:rPr>
        <w:t xml:space="preserve">s ir ekonominės veiklos vykdytojo bendravimas ir keitimasis informacija pagal šį įstatymą, įskaitant koncesijos skelbimą, kvietimus pateikti pasiūlymą ar kitus dokumentus, ekonominės veiklos vykdytojų paraiškas, pasiūlymus, vykdomas </w:t>
      </w:r>
      <w:r>
        <w:rPr>
          <w:szCs w:val="24"/>
        </w:rPr>
        <w:lastRenderedPageBreak/>
        <w:t>naudojantis Centrinės v</w:t>
      </w:r>
      <w:r>
        <w:rPr>
          <w:szCs w:val="24"/>
        </w:rPr>
        <w:t>iešųjų pirkimų informacinės sistemos priemonėmis. Šioje dalyje nustatytų reikalavimų gali būti nesilaikoma tik išimtiniais šiame įstatyme nurodytais atvejais.“</w:t>
      </w:r>
    </w:p>
    <w:p w14:paraId="75FD2175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Papildyti 23 straipsnį 6 dalimi:</w:t>
      </w:r>
    </w:p>
    <w:p w14:paraId="75FD2176" w14:textId="77777777" w:rsidR="00F50BF5" w:rsidRDefault="00C0499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. Sąskaitos dėl atlygio, suteikiančiosios </w:t>
      </w:r>
      <w:r>
        <w:rPr>
          <w:color w:val="000000"/>
          <w:szCs w:val="24"/>
          <w:lang w:eastAsia="lt-LT"/>
        </w:rPr>
        <w:t>institucijos mokamo koncesininkui vykdant koncesijų sutartis (toliau – sąskaitos faktūros), teikiamos tik elektroniniu būdu. Elektroninės sąskaitos faktūros, atitinkančios Europos elektroninių sąskaitų faktūrų standartą, kurio nuoroda paskelbta 2017 m. spa</w:t>
      </w:r>
      <w:r>
        <w:rPr>
          <w:color w:val="000000"/>
          <w:szCs w:val="24"/>
          <w:lang w:eastAsia="lt-LT"/>
        </w:rPr>
        <w:t xml:space="preserve">lio 16 d. Komisijos įgyvendinimo sprendime (ES) 2017/1870 dėl nuorodos į Europos elektroninių sąskaitų faktūrų standartą ir </w:t>
      </w:r>
      <w:proofErr w:type="spellStart"/>
      <w:r>
        <w:rPr>
          <w:color w:val="000000"/>
          <w:szCs w:val="24"/>
          <w:lang w:eastAsia="lt-LT"/>
        </w:rPr>
        <w:t>sintaksių</w:t>
      </w:r>
      <w:proofErr w:type="spellEnd"/>
      <w:r>
        <w:rPr>
          <w:color w:val="000000"/>
          <w:szCs w:val="24"/>
          <w:lang w:eastAsia="lt-LT"/>
        </w:rPr>
        <w:t xml:space="preserve"> sąrašo paskelbimo pagal Europos Parlamento ir Tarybos direktyvą 2014/55/ES (OL 2017 L 266, p. 19) (toliau – Europos elektr</w:t>
      </w:r>
      <w:r>
        <w:rPr>
          <w:color w:val="000000"/>
          <w:szCs w:val="24"/>
          <w:lang w:eastAsia="lt-LT"/>
        </w:rPr>
        <w:t>oninių sąskaitų faktūrų standartas), teikiamos koncesininko pasirinktomis priemonėmis. Europos elektroninių sąskaitų faktūrų standarto neatitinkančios elektroninės sąskaitos faktūros gali būti teikiamos tik naudojantis informacinės sistemos „E. sąskaita“ p</w:t>
      </w:r>
      <w:r>
        <w:rPr>
          <w:color w:val="000000"/>
          <w:szCs w:val="24"/>
          <w:lang w:eastAsia="lt-LT"/>
        </w:rPr>
        <w:t>riemonėmis. Suteikiančioji institucija elektronines sąskaitas faktūras priima ir apdoroja naudodamasi informacinės sistemos „E. sąskaita“ priemonėmis, išskyrus šio straipsnio 8 dalyje nustatytus atvejus. Šiame straipsnyje elektroninė sąskaita faktūra supra</w:t>
      </w:r>
      <w:r>
        <w:rPr>
          <w:color w:val="000000"/>
          <w:szCs w:val="24"/>
          <w:lang w:eastAsia="lt-LT"/>
        </w:rPr>
        <w:t>ntama kaip sąskaita faktūra, išrašyta, perduota ir gauta tokiu elektroniniu formatu, kuris sudaro galimybę ją apdoroti automatiniu ir elektroniniu būdu.“</w:t>
      </w:r>
    </w:p>
    <w:p w14:paraId="75FD2177" w14:textId="77777777" w:rsidR="00F50BF5" w:rsidRDefault="00C0499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Papildyti 23 straipsnį 7 dalimi:</w:t>
      </w:r>
    </w:p>
    <w:p w14:paraId="75FD2178" w14:textId="77777777" w:rsidR="00F50BF5" w:rsidRDefault="00C0499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Informacinė sistema „E. sąskaita“ turi sudaryti gali</w:t>
      </w:r>
      <w:r>
        <w:rPr>
          <w:color w:val="000000"/>
          <w:szCs w:val="24"/>
          <w:lang w:eastAsia="lt-LT"/>
        </w:rPr>
        <w:t>mybes suteikiančiosioms institucijoms priimti ir apdoroti elektronines sąskaitas faktūras, atitinkančias Europos elektroninių sąskaitų faktūrų standartą.“</w:t>
      </w:r>
    </w:p>
    <w:p w14:paraId="75FD2179" w14:textId="77777777" w:rsidR="00F50BF5" w:rsidRDefault="00C0499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Papildyti 23 straipsnį 8 dalimi:</w:t>
      </w:r>
    </w:p>
    <w:p w14:paraId="75FD217A" w14:textId="77777777" w:rsidR="00F50BF5" w:rsidRDefault="00C0499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Jeigu mobilizacijos, karo ar nepaprastosios padėtie</w:t>
      </w:r>
      <w:r>
        <w:rPr>
          <w:color w:val="000000"/>
        </w:rPr>
        <w:t>s atveju yra Centrinės viešųjų pirkimų informacinės sistemos ar informacinės sistemos „E. sąskaita“ pažeidimų, dėl kurių negalimas suteikiančiosios institucijos ir ekonominės veiklos vykdytojo bendravimas ir keitimasis informacija naudojantis šiomis sistem</w:t>
      </w:r>
      <w:r>
        <w:rPr>
          <w:color w:val="000000"/>
        </w:rPr>
        <w:t xml:space="preserve">omis, atliekant </w:t>
      </w:r>
      <w:r>
        <w:t xml:space="preserve">koncesijos suteikimo procedūras </w:t>
      </w:r>
      <w:r>
        <w:rPr>
          <w:color w:val="000000"/>
        </w:rPr>
        <w:t>gali būti naudojamos kitos šiame straipsnyje Centrinei viešųjų pirkimų informacinei sistemai keliamus reikalavimus atitinkančios elektroninės priemonės, vykdant koncesijų sutartis sąskaitos faktūros gali būti</w:t>
      </w:r>
      <w:r>
        <w:rPr>
          <w:color w:val="000000"/>
        </w:rPr>
        <w:t xml:space="preserve"> teikiamos ne elektroninėmis priemonėmis.“</w:t>
      </w:r>
    </w:p>
    <w:p w14:paraId="75FD217B" w14:textId="77777777" w:rsidR="00F50BF5" w:rsidRDefault="00C0499D">
      <w:pPr>
        <w:ind w:firstLine="720"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75FD217C" w14:textId="77777777" w:rsidR="00F50BF5" w:rsidRDefault="00C0499D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7 priedo pakeitimas</w:t>
      </w:r>
    </w:p>
    <w:p w14:paraId="75FD217D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Įstatymo 7 priedą 2 punktu:</w:t>
      </w:r>
    </w:p>
    <w:p w14:paraId="75FD217E" w14:textId="77777777" w:rsidR="00F50BF5" w:rsidRDefault="00C0499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color w:val="000000"/>
        </w:rPr>
        <w:t>2014 m. balandžio 16 d. Europos Parlamento ir Tarybos direktyva 2014/55/ES dėl elektroninių sąskaitų faktūrų naud</w:t>
      </w:r>
      <w:r>
        <w:rPr>
          <w:color w:val="000000"/>
        </w:rPr>
        <w:t>ojimo viešuosiuose pirkimuose (OL 2014 L 133, p. 1).“</w:t>
      </w:r>
    </w:p>
    <w:p w14:paraId="75FD217F" w14:textId="77777777" w:rsidR="00F50BF5" w:rsidRDefault="00C0499D">
      <w:pPr>
        <w:spacing w:line="360" w:lineRule="auto"/>
        <w:ind w:firstLine="720"/>
        <w:jc w:val="both"/>
        <w:rPr>
          <w:i/>
          <w:szCs w:val="24"/>
        </w:rPr>
      </w:pPr>
    </w:p>
    <w:p w14:paraId="75FD2180" w14:textId="77777777" w:rsidR="00F50BF5" w:rsidRDefault="00C0499D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5FD2181" w14:textId="77777777" w:rsidR="00F50BF5" w:rsidRDefault="00F50BF5">
      <w:pPr>
        <w:rPr>
          <w:i/>
          <w:szCs w:val="24"/>
        </w:rPr>
      </w:pPr>
    </w:p>
    <w:p w14:paraId="7464542C" w14:textId="77777777" w:rsidR="00C0499D" w:rsidRDefault="00C0499D">
      <w:pPr>
        <w:rPr>
          <w:i/>
          <w:szCs w:val="24"/>
        </w:rPr>
      </w:pPr>
    </w:p>
    <w:p w14:paraId="47FE221B" w14:textId="77777777" w:rsidR="00C0499D" w:rsidRDefault="00C0499D">
      <w:pPr>
        <w:rPr>
          <w:i/>
          <w:szCs w:val="24"/>
        </w:rPr>
      </w:pPr>
    </w:p>
    <w:p w14:paraId="75FD2182" w14:textId="77777777" w:rsidR="00F50BF5" w:rsidRDefault="00C0499D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F50BF5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D2187" w14:textId="77777777" w:rsidR="00F50BF5" w:rsidRDefault="00C0499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5FD2188" w14:textId="77777777" w:rsidR="00F50BF5" w:rsidRDefault="00C0499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8D" w14:textId="77777777" w:rsidR="00F50BF5" w:rsidRDefault="00C0499D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5FD218E" w14:textId="77777777" w:rsidR="00F50BF5" w:rsidRDefault="00F50BF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8F" w14:textId="77777777" w:rsidR="00F50BF5" w:rsidRDefault="00F50BF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91" w14:textId="77777777" w:rsidR="00F50BF5" w:rsidRDefault="00F50BF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2185" w14:textId="77777777" w:rsidR="00F50BF5" w:rsidRDefault="00C0499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5FD2186" w14:textId="77777777" w:rsidR="00F50BF5" w:rsidRDefault="00C0499D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89" w14:textId="77777777" w:rsidR="00F50BF5" w:rsidRDefault="00C0499D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5FD218A" w14:textId="77777777" w:rsidR="00F50BF5" w:rsidRDefault="00F50BF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8B" w14:textId="77777777" w:rsidR="00F50BF5" w:rsidRDefault="00C0499D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5FD218C" w14:textId="77777777" w:rsidR="00F50BF5" w:rsidRDefault="00F50BF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2190" w14:textId="77777777" w:rsidR="00F50BF5" w:rsidRDefault="00F50BF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E"/>
    <w:rsid w:val="00C0499D"/>
    <w:rsid w:val="00DF611E"/>
    <w:rsid w:val="00F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2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2019-06-10T12:48:00Z</dcterms:created>
  <dc:creator>„Windows“ vartotojas</dc:creator>
  <lastModifiedBy>TRAPINSKIENĖ Aušrinė</lastModifiedBy>
  <lastPrinted>2019-06-03T08:16:00Z</lastPrinted>
  <dcterms:modified xsi:type="dcterms:W3CDTF">2019-06-10T13:21:00Z</dcterms:modified>
  <revision>3</revision>
</coreProperties>
</file>