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5A66" w14:textId="5A4A540F" w:rsidR="007007DD" w:rsidRDefault="007007DD" w:rsidP="00994769">
      <w:pPr>
        <w:widowControl w:val="0"/>
        <w:tabs>
          <w:tab w:val="center" w:pos="4819"/>
          <w:tab w:val="right" w:pos="9638"/>
        </w:tabs>
        <w:jc w:val="center"/>
        <w:rPr>
          <w:b/>
          <w:bCs/>
          <w:color w:val="000000"/>
          <w:spacing w:val="-6"/>
          <w:szCs w:val="24"/>
          <w:lang w:eastAsia="lt-LT"/>
        </w:rPr>
      </w:pPr>
      <w:r>
        <w:rPr>
          <w:b/>
          <w:bCs/>
          <w:noProof/>
          <w:color w:val="000000"/>
          <w:spacing w:val="-6"/>
          <w:szCs w:val="24"/>
          <w:lang w:eastAsia="lt-LT"/>
        </w:rPr>
        <w:drawing>
          <wp:inline distT="0" distB="0" distL="0" distR="0" wp14:anchorId="556A39F2" wp14:editId="5263D5CB">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14:paraId="1336C8A5" w14:textId="77777777" w:rsidR="000A2207" w:rsidRDefault="00391D30">
      <w:pPr>
        <w:widowControl w:val="0"/>
        <w:shd w:val="clear" w:color="auto" w:fill="FFFFFF"/>
        <w:jc w:val="center"/>
        <w:rPr>
          <w:b/>
          <w:bCs/>
          <w:color w:val="000000"/>
          <w:spacing w:val="-6"/>
          <w:szCs w:val="24"/>
          <w:lang w:eastAsia="lt-LT"/>
        </w:rPr>
      </w:pPr>
      <w:r>
        <w:rPr>
          <w:b/>
          <w:bCs/>
          <w:color w:val="000000"/>
          <w:spacing w:val="-6"/>
          <w:szCs w:val="24"/>
          <w:lang w:eastAsia="lt-LT"/>
        </w:rPr>
        <w:t>LIETUVOS RESPUBLIKOS SVEIKATOS APSAUGOS MINISTRAS</w:t>
      </w:r>
    </w:p>
    <w:p w14:paraId="1336C8A6" w14:textId="77777777" w:rsidR="000A2207" w:rsidRDefault="000A2207">
      <w:pPr>
        <w:widowControl w:val="0"/>
        <w:shd w:val="clear" w:color="auto" w:fill="FFFFFF"/>
        <w:ind w:left="1570"/>
        <w:rPr>
          <w:b/>
          <w:szCs w:val="24"/>
          <w:lang w:eastAsia="lt-LT"/>
        </w:rPr>
      </w:pPr>
    </w:p>
    <w:p w14:paraId="1336C8A7" w14:textId="77777777" w:rsidR="000A2207" w:rsidRDefault="00391D30">
      <w:pPr>
        <w:widowControl w:val="0"/>
        <w:shd w:val="clear" w:color="auto" w:fill="FFFFFF"/>
        <w:jc w:val="center"/>
        <w:rPr>
          <w:b/>
          <w:bCs/>
          <w:color w:val="000000"/>
          <w:spacing w:val="-9"/>
          <w:szCs w:val="24"/>
          <w:lang w:eastAsia="lt-LT"/>
        </w:rPr>
      </w:pPr>
      <w:r>
        <w:rPr>
          <w:b/>
          <w:bCs/>
          <w:color w:val="000000"/>
          <w:spacing w:val="-9"/>
          <w:szCs w:val="24"/>
          <w:lang w:eastAsia="lt-LT"/>
        </w:rPr>
        <w:t>ĮSAKYMAS</w:t>
      </w:r>
    </w:p>
    <w:p w14:paraId="1336C8A8" w14:textId="77777777" w:rsidR="000A2207" w:rsidRDefault="00391D30">
      <w:pPr>
        <w:jc w:val="center"/>
        <w:rPr>
          <w:b/>
          <w:szCs w:val="24"/>
        </w:rPr>
      </w:pPr>
      <w:r>
        <w:rPr>
          <w:b/>
          <w:bCs/>
          <w:szCs w:val="24"/>
        </w:rPr>
        <w:t xml:space="preserve">DĖL </w:t>
      </w:r>
      <w:r>
        <w:rPr>
          <w:b/>
          <w:szCs w:val="24"/>
        </w:rPr>
        <w:t>LIETUVOS RESPUBLIKOS SVEIKATOS APSAUGOS MINISTRO</w:t>
      </w:r>
    </w:p>
    <w:p w14:paraId="1336C8A9" w14:textId="77777777" w:rsidR="000A2207" w:rsidRDefault="00391D30">
      <w:pPr>
        <w:widowControl w:val="0"/>
        <w:shd w:val="clear" w:color="auto" w:fill="FFFFFF"/>
        <w:jc w:val="center"/>
        <w:rPr>
          <w:b/>
          <w:szCs w:val="24"/>
          <w:lang w:eastAsia="lt-LT"/>
        </w:rPr>
      </w:pPr>
      <w:r>
        <w:rPr>
          <w:b/>
          <w:szCs w:val="24"/>
          <w:lang w:eastAsia="lt-LT"/>
        </w:rPr>
        <w:t>2015 M. BIRŽELIO 22 D. ĮSAKYMO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PAKEITIMO</w:t>
      </w:r>
    </w:p>
    <w:p w14:paraId="1336C8AA" w14:textId="77777777" w:rsidR="000A2207" w:rsidRDefault="000A2207">
      <w:pPr>
        <w:widowControl w:val="0"/>
        <w:shd w:val="clear" w:color="auto" w:fill="FFFFFF"/>
        <w:jc w:val="center"/>
        <w:rPr>
          <w:b/>
          <w:szCs w:val="24"/>
          <w:lang w:eastAsia="lt-LT"/>
        </w:rPr>
      </w:pPr>
    </w:p>
    <w:p w14:paraId="1336C8AB" w14:textId="77777777" w:rsidR="000A2207" w:rsidRDefault="00391D30">
      <w:pPr>
        <w:widowControl w:val="0"/>
        <w:shd w:val="clear" w:color="auto" w:fill="FFFFFF"/>
        <w:tabs>
          <w:tab w:val="left" w:pos="1134"/>
          <w:tab w:val="left" w:pos="1276"/>
        </w:tabs>
        <w:ind w:right="57"/>
        <w:jc w:val="center"/>
        <w:rPr>
          <w:color w:val="000000"/>
          <w:szCs w:val="24"/>
          <w:lang w:eastAsia="lt-LT"/>
        </w:rPr>
      </w:pPr>
      <w:r>
        <w:rPr>
          <w:color w:val="000000"/>
          <w:szCs w:val="24"/>
          <w:lang w:eastAsia="lt-LT"/>
        </w:rPr>
        <w:t xml:space="preserve">2016 m.  </w:t>
      </w:r>
      <w:r>
        <w:rPr>
          <w:color w:val="000000"/>
          <w:spacing w:val="-9"/>
          <w:szCs w:val="24"/>
          <w:lang w:eastAsia="lt-LT"/>
        </w:rPr>
        <w:t>rugpjūčio  31</w:t>
      </w:r>
      <w:r>
        <w:rPr>
          <w:color w:val="000000"/>
          <w:szCs w:val="24"/>
          <w:lang w:eastAsia="lt-LT"/>
        </w:rPr>
        <w:t xml:space="preserve"> d. Nr. V-1059</w:t>
      </w:r>
    </w:p>
    <w:p w14:paraId="1336C8AC" w14:textId="77777777" w:rsidR="000A2207" w:rsidRDefault="00391D30">
      <w:pPr>
        <w:widowControl w:val="0"/>
        <w:shd w:val="clear" w:color="auto" w:fill="FFFFFF"/>
        <w:tabs>
          <w:tab w:val="left" w:pos="1134"/>
          <w:tab w:val="left" w:pos="1276"/>
        </w:tabs>
        <w:ind w:right="57"/>
        <w:jc w:val="center"/>
        <w:rPr>
          <w:color w:val="000000"/>
          <w:spacing w:val="-9"/>
          <w:szCs w:val="24"/>
          <w:lang w:eastAsia="lt-LT"/>
        </w:rPr>
      </w:pPr>
      <w:r>
        <w:rPr>
          <w:color w:val="000000"/>
          <w:spacing w:val="-9"/>
          <w:szCs w:val="24"/>
          <w:lang w:eastAsia="lt-LT"/>
        </w:rPr>
        <w:t>Vilnius</w:t>
      </w:r>
    </w:p>
    <w:p w14:paraId="1336C8AD" w14:textId="77777777" w:rsidR="000A2207" w:rsidRDefault="000A2207">
      <w:pPr>
        <w:widowControl w:val="0"/>
        <w:shd w:val="clear" w:color="auto" w:fill="FFFFFF"/>
        <w:ind w:left="57" w:right="57" w:firstLine="1134"/>
        <w:jc w:val="both"/>
        <w:rPr>
          <w:color w:val="000000"/>
          <w:spacing w:val="-4"/>
          <w:szCs w:val="24"/>
          <w:lang w:eastAsia="lt-LT"/>
        </w:rPr>
      </w:pPr>
    </w:p>
    <w:p w14:paraId="05A0DB64" w14:textId="77777777" w:rsidR="00994769" w:rsidRDefault="00994769">
      <w:pPr>
        <w:widowControl w:val="0"/>
        <w:shd w:val="clear" w:color="auto" w:fill="FFFFFF"/>
        <w:ind w:left="57" w:right="57" w:firstLine="1134"/>
        <w:jc w:val="both"/>
        <w:rPr>
          <w:color w:val="000000"/>
          <w:spacing w:val="-4"/>
          <w:szCs w:val="24"/>
          <w:lang w:eastAsia="lt-LT"/>
        </w:rPr>
      </w:pPr>
    </w:p>
    <w:p w14:paraId="1336C8AE" w14:textId="77777777" w:rsidR="000A2207" w:rsidRDefault="00391D30">
      <w:pPr>
        <w:tabs>
          <w:tab w:val="left" w:pos="993"/>
          <w:tab w:val="left" w:pos="1276"/>
        </w:tabs>
        <w:ind w:firstLine="851"/>
        <w:jc w:val="both"/>
        <w:rPr>
          <w:szCs w:val="24"/>
        </w:rPr>
      </w:pPr>
      <w:r>
        <w:rPr>
          <w:szCs w:val="24"/>
        </w:rPr>
        <w:t xml:space="preserve">P a k e i č i u 2014–2020 metų Europos Sąjungos fondų investicijų veiksmų programos, patvirtintos 2014 m. rugsėjo 8 d. Europos Komisijos sprendimu, 8 prioriteto „Socialinės </w:t>
      </w:r>
      <w:proofErr w:type="spellStart"/>
      <w:r>
        <w:rPr>
          <w:szCs w:val="24"/>
        </w:rPr>
        <w:t>įtraukties</w:t>
      </w:r>
      <w:proofErr w:type="spellEnd"/>
      <w:r>
        <w:rPr>
          <w:szCs w:val="24"/>
        </w:rPr>
        <w:t xml:space="preserve"> didinimas ir kova su skurdu“ 8.1.3 konkretaus uždavinio „Pagerinti sveikatos priežiūros kokybę ir prieinamumą tikslinėms gyventojų grupėms bei sumažinti sveikatos netolygumus“ ir </w:t>
      </w:r>
      <w:r>
        <w:rPr>
          <w:szCs w:val="24"/>
        </w:rPr>
        <w:br/>
        <w:t xml:space="preserve">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w:t>
      </w:r>
      <w:proofErr w:type="spellStart"/>
      <w:r>
        <w:rPr>
          <w:szCs w:val="24"/>
        </w:rPr>
        <w:t>įtraukties</w:t>
      </w:r>
      <w:proofErr w:type="spellEnd"/>
      <w:r>
        <w:rPr>
          <w:szCs w:val="24"/>
        </w:rPr>
        <w:t xml:space="preserve"> didinimas ir kova su skurdu“ 8.1.3 konkretaus uždavinio „Pagerinti sveikatos priežiūros kokybę ir prieinamumą tikslinėms gyventojų grupėms bei sumažinti sveikatos netolygumus“ ir </w:t>
      </w:r>
      <w:r>
        <w:rPr>
          <w:szCs w:val="24"/>
        </w:rPr>
        <w:br/>
        <w:t xml:space="preserve">8.4.2 konkretaus uždavinio „Sumažinti sveikatos netolygumus, gerinant sveikatos priežiūros kokybę ir prieinamumą tikslinėms gyventojų grupėms, ir skatinti sveiką senėjimą“ priemonių įgyvendinimo plano ir Nacionalinių </w:t>
      </w:r>
      <w:proofErr w:type="spellStart"/>
      <w:r>
        <w:rPr>
          <w:szCs w:val="24"/>
        </w:rPr>
        <w:t>stebėsenos</w:t>
      </w:r>
      <w:proofErr w:type="spellEnd"/>
      <w:r>
        <w:rPr>
          <w:szCs w:val="24"/>
        </w:rPr>
        <w:t xml:space="preserve"> rodiklių skaičiavimo aprašo patvirtinimo“:</w:t>
      </w:r>
    </w:p>
    <w:p w14:paraId="1336C8AF" w14:textId="77777777" w:rsidR="000A2207" w:rsidRDefault="00994769">
      <w:pPr>
        <w:tabs>
          <w:tab w:val="left" w:pos="0"/>
        </w:tabs>
        <w:ind w:firstLine="851"/>
        <w:jc w:val="both"/>
        <w:rPr>
          <w:szCs w:val="24"/>
        </w:rPr>
      </w:pPr>
      <w:r w:rsidR="00391D30">
        <w:rPr>
          <w:color w:val="000000"/>
          <w:szCs w:val="24"/>
        </w:rPr>
        <w:t>1</w:t>
      </w:r>
      <w:r w:rsidR="00391D30">
        <w:rPr>
          <w:color w:val="000000"/>
          <w:szCs w:val="24"/>
        </w:rPr>
        <w:t>.</w:t>
      </w:r>
      <w:r w:rsidR="00391D30">
        <w:rPr>
          <w:color w:val="000000"/>
          <w:szCs w:val="24"/>
        </w:rPr>
        <w:tab/>
      </w:r>
      <w:r w:rsidR="00391D30">
        <w:rPr>
          <w:szCs w:val="24"/>
        </w:rPr>
        <w:t xml:space="preserve">Pakeičiu trečiojo skirsnio „Veiksmų programos prioriteto įgyvendinimo priemonė </w:t>
      </w:r>
      <w:r w:rsidR="00391D30">
        <w:rPr>
          <w:szCs w:val="24"/>
        </w:rPr>
        <w:br/>
        <w:t xml:space="preserve">Nr. 08.1.3-CPVA-V-605 „Tuberkuliozės profilaktikos, diagnostikos ir gydymo paslaugų kokybės ir prieinamumo gerinimas“ 6 punkto </w:t>
      </w:r>
      <w:r w:rsidR="00391D30">
        <w:rPr>
          <w:szCs w:val="24"/>
          <w:lang w:eastAsia="lt-LT"/>
        </w:rPr>
        <w:t>p</w:t>
      </w:r>
      <w:r w:rsidR="00391D30">
        <w:rPr>
          <w:bCs/>
          <w:szCs w:val="24"/>
          <w:lang w:eastAsia="lt-LT"/>
        </w:rPr>
        <w:t xml:space="preserve">riemonės </w:t>
      </w:r>
      <w:proofErr w:type="spellStart"/>
      <w:r w:rsidR="00391D30">
        <w:rPr>
          <w:bCs/>
          <w:szCs w:val="24"/>
          <w:lang w:eastAsia="lt-LT"/>
        </w:rPr>
        <w:t>stebėsenos</w:t>
      </w:r>
      <w:proofErr w:type="spellEnd"/>
      <w:r w:rsidR="00391D30">
        <w:rPr>
          <w:bCs/>
          <w:szCs w:val="24"/>
          <w:lang w:eastAsia="lt-LT"/>
        </w:rPr>
        <w:t xml:space="preserve"> rodikl</w:t>
      </w:r>
      <w:r w:rsidR="00391D30">
        <w:rPr>
          <w:bCs/>
          <w:szCs w:val="24"/>
        </w:rPr>
        <w:t>io</w:t>
      </w:r>
      <w:r w:rsidR="00391D30">
        <w:rPr>
          <w:szCs w:val="24"/>
        </w:rPr>
        <w:t xml:space="preserve"> R. N.601 2 skiltį ir ją išdėstau taip:</w:t>
      </w:r>
    </w:p>
    <w:p w14:paraId="1336C8B0" w14:textId="77777777" w:rsidR="000A2207" w:rsidRDefault="00391D30">
      <w:pPr>
        <w:tabs>
          <w:tab w:val="left" w:pos="993"/>
          <w:tab w:val="left" w:pos="1276"/>
        </w:tabs>
        <w:ind w:firstLine="851"/>
        <w:jc w:val="both"/>
        <w:rPr>
          <w:szCs w:val="24"/>
        </w:rPr>
      </w:pPr>
      <w:r>
        <w:rPr>
          <w:color w:val="000000"/>
          <w:szCs w:val="24"/>
        </w:rPr>
        <w:t>„Pacientai, kuriems pagerinta paslaugų kokybė ir prieinamumas“.</w:t>
      </w:r>
    </w:p>
    <w:p w14:paraId="1336C8B1" w14:textId="77777777" w:rsidR="000A2207" w:rsidRDefault="00994769">
      <w:pPr>
        <w:tabs>
          <w:tab w:val="left" w:pos="0"/>
        </w:tabs>
        <w:ind w:firstLine="851"/>
        <w:jc w:val="both"/>
        <w:rPr>
          <w:szCs w:val="24"/>
        </w:rPr>
      </w:pPr>
      <w:r w:rsidR="00391D30">
        <w:rPr>
          <w:color w:val="000000"/>
          <w:szCs w:val="24"/>
        </w:rPr>
        <w:t>2</w:t>
      </w:r>
      <w:r w:rsidR="00391D30">
        <w:rPr>
          <w:color w:val="000000"/>
          <w:szCs w:val="24"/>
        </w:rPr>
        <w:t>.</w:t>
      </w:r>
      <w:r w:rsidR="00391D30">
        <w:rPr>
          <w:color w:val="000000"/>
          <w:szCs w:val="24"/>
        </w:rPr>
        <w:tab/>
      </w:r>
      <w:r w:rsidR="00391D30">
        <w:rPr>
          <w:szCs w:val="24"/>
        </w:rPr>
        <w:t xml:space="preserve">Pakeičiu ketvirtojo skirsnio </w:t>
      </w:r>
      <w:r w:rsidR="00391D30">
        <w:rPr>
          <w:szCs w:val="24"/>
          <w:lang w:eastAsia="lt-LT"/>
        </w:rPr>
        <w:t xml:space="preserve">„Priemonė Nr. </w:t>
      </w:r>
      <w:r w:rsidR="00391D30">
        <w:rPr>
          <w:szCs w:val="24"/>
        </w:rPr>
        <w:t xml:space="preserve">08.4.2-CPVA-V-618 „Tuberkuliozės profilaktikos, diagnostikos ir gydymo paslaugų kokybės ir prieinamumo gerinimas“ 6 punkto </w:t>
      </w:r>
      <w:r w:rsidR="00391D30">
        <w:rPr>
          <w:szCs w:val="24"/>
          <w:lang w:eastAsia="lt-LT"/>
        </w:rPr>
        <w:t>p</w:t>
      </w:r>
      <w:r w:rsidR="00391D30">
        <w:rPr>
          <w:bCs/>
          <w:szCs w:val="24"/>
          <w:lang w:eastAsia="lt-LT"/>
        </w:rPr>
        <w:t xml:space="preserve">riemonės </w:t>
      </w:r>
      <w:proofErr w:type="spellStart"/>
      <w:r w:rsidR="00391D30">
        <w:rPr>
          <w:bCs/>
          <w:szCs w:val="24"/>
          <w:lang w:eastAsia="lt-LT"/>
        </w:rPr>
        <w:t>stebėsenos</w:t>
      </w:r>
      <w:proofErr w:type="spellEnd"/>
      <w:r w:rsidR="00391D30">
        <w:rPr>
          <w:bCs/>
          <w:szCs w:val="24"/>
          <w:lang w:eastAsia="lt-LT"/>
        </w:rPr>
        <w:t xml:space="preserve"> rodikl</w:t>
      </w:r>
      <w:r w:rsidR="00391D30">
        <w:rPr>
          <w:bCs/>
          <w:szCs w:val="24"/>
        </w:rPr>
        <w:t>io</w:t>
      </w:r>
      <w:r w:rsidR="00391D30">
        <w:rPr>
          <w:szCs w:val="24"/>
        </w:rPr>
        <w:t xml:space="preserve"> R. N.601 2 skiltį ir ją išdėstau taip:</w:t>
      </w:r>
    </w:p>
    <w:p w14:paraId="1336C8B3" w14:textId="15CEEBAD" w:rsidR="000A2207" w:rsidRDefault="00391D30">
      <w:pPr>
        <w:tabs>
          <w:tab w:val="left" w:pos="993"/>
          <w:tab w:val="left" w:pos="1276"/>
        </w:tabs>
        <w:ind w:firstLine="851"/>
        <w:jc w:val="both"/>
        <w:rPr>
          <w:szCs w:val="24"/>
        </w:rPr>
      </w:pPr>
      <w:r>
        <w:rPr>
          <w:color w:val="000000"/>
          <w:szCs w:val="24"/>
        </w:rPr>
        <w:t>„Pacientai, kuriems pagerinta paslaugų kokybė ir prieinamumas“.</w:t>
      </w:r>
    </w:p>
    <w:bookmarkStart w:id="0" w:name="_GoBack" w:displacedByCustomXml="prev"/>
    <w:p w14:paraId="3E34144E" w14:textId="77777777" w:rsidR="00967BF1" w:rsidRDefault="00967BF1">
      <w:pPr>
        <w:widowControl w:val="0"/>
      </w:pPr>
    </w:p>
    <w:p w14:paraId="4B191D6D" w14:textId="77777777" w:rsidR="00967BF1" w:rsidRDefault="00967BF1">
      <w:pPr>
        <w:widowControl w:val="0"/>
      </w:pPr>
    </w:p>
    <w:p w14:paraId="1D8AC913" w14:textId="77777777" w:rsidR="00967BF1" w:rsidRDefault="00967BF1">
      <w:pPr>
        <w:widowControl w:val="0"/>
      </w:pPr>
    </w:p>
    <w:p w14:paraId="1336C8B4" w14:textId="6EFBC09C" w:rsidR="000A2207" w:rsidRDefault="00391D30">
      <w:pPr>
        <w:widowControl w:val="0"/>
        <w:rPr>
          <w:szCs w:val="24"/>
          <w:lang w:eastAsia="lt-LT"/>
        </w:rPr>
      </w:pPr>
      <w:r>
        <w:rPr>
          <w:szCs w:val="24"/>
          <w:lang w:eastAsia="lt-LT"/>
        </w:rPr>
        <w:t>Krašto apsaugos ministras,</w:t>
      </w:r>
    </w:p>
    <w:p w14:paraId="1336C8B8" w14:textId="6A77E2E0" w:rsidR="000A2207" w:rsidRDefault="00391D30" w:rsidP="00967BF1">
      <w:pPr>
        <w:widowControl w:val="0"/>
        <w:ind w:left="57" w:right="57" w:hanging="57"/>
        <w:rPr>
          <w:szCs w:val="24"/>
          <w:lang w:eastAsia="lt-LT"/>
        </w:rPr>
      </w:pPr>
      <w:r>
        <w:rPr>
          <w:color w:val="000000"/>
          <w:szCs w:val="24"/>
          <w:lang w:eastAsia="lt-LT"/>
        </w:rPr>
        <w:t xml:space="preserve">pavaduojantis sveikatos apsaugos ministrą                      </w:t>
      </w:r>
      <w:r>
        <w:rPr>
          <w:color w:val="000000"/>
          <w:szCs w:val="24"/>
          <w:lang w:eastAsia="lt-LT"/>
        </w:rPr>
        <w:tab/>
      </w:r>
      <w:r>
        <w:rPr>
          <w:color w:val="000000"/>
          <w:szCs w:val="24"/>
          <w:lang w:eastAsia="lt-LT"/>
        </w:rPr>
        <w:tab/>
        <w:t>Juozas Olekas</w:t>
      </w:r>
    </w:p>
    <w:bookmarkEnd w:id="0" w:displacedByCustomXml="next"/>
    <w:sectPr w:rsidR="000A2207">
      <w:headerReference w:type="even" r:id="rId9"/>
      <w:headerReference w:type="default" r:id="rId10"/>
      <w:footerReference w:type="even" r:id="rId11"/>
      <w:footerReference w:type="default" r:id="rId12"/>
      <w:headerReference w:type="first" r:id="rId13"/>
      <w:footerReference w:type="first" r:id="rId14"/>
      <w:pgSz w:w="11909" w:h="16834" w:code="9"/>
      <w:pgMar w:top="1077" w:right="567" w:bottom="1077" w:left="1701" w:header="567" w:footer="51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C8BC" w14:textId="77777777" w:rsidR="000A2207" w:rsidRDefault="00391D30">
      <w:pPr>
        <w:widowControl w:val="0"/>
        <w:rPr>
          <w:sz w:val="20"/>
          <w:lang w:eastAsia="lt-LT"/>
        </w:rPr>
      </w:pPr>
      <w:r>
        <w:rPr>
          <w:sz w:val="20"/>
          <w:lang w:eastAsia="lt-LT"/>
        </w:rPr>
        <w:separator/>
      </w:r>
    </w:p>
  </w:endnote>
  <w:endnote w:type="continuationSeparator" w:id="0">
    <w:p w14:paraId="1336C8BD" w14:textId="77777777" w:rsidR="000A2207" w:rsidRDefault="00391D30">
      <w:pPr>
        <w:widowControl w:val="0"/>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C8C1" w14:textId="77777777" w:rsidR="000A2207" w:rsidRDefault="000A2207">
    <w:pPr>
      <w:widowControl w:val="0"/>
      <w:tabs>
        <w:tab w:val="center" w:pos="4819"/>
        <w:tab w:val="right" w:pos="9638"/>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C8C2" w14:textId="77777777" w:rsidR="000A2207" w:rsidRDefault="000A2207">
    <w:pPr>
      <w:widowControl w:val="0"/>
      <w:tabs>
        <w:tab w:val="center" w:pos="4819"/>
        <w:tab w:val="right" w:pos="9638"/>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C8C4" w14:textId="77777777" w:rsidR="000A2207" w:rsidRDefault="000A2207">
    <w:pPr>
      <w:widowControl w:val="0"/>
      <w:tabs>
        <w:tab w:val="center" w:pos="4819"/>
        <w:tab w:val="right" w:pos="9638"/>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6C8BA" w14:textId="77777777" w:rsidR="000A2207" w:rsidRDefault="00391D30">
      <w:pPr>
        <w:widowControl w:val="0"/>
        <w:rPr>
          <w:sz w:val="20"/>
          <w:lang w:eastAsia="lt-LT"/>
        </w:rPr>
      </w:pPr>
      <w:r>
        <w:rPr>
          <w:sz w:val="20"/>
          <w:lang w:eastAsia="lt-LT"/>
        </w:rPr>
        <w:separator/>
      </w:r>
    </w:p>
  </w:footnote>
  <w:footnote w:type="continuationSeparator" w:id="0">
    <w:p w14:paraId="1336C8BB" w14:textId="77777777" w:rsidR="000A2207" w:rsidRDefault="00391D30">
      <w:pPr>
        <w:widowControl w:val="0"/>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C8BE" w14:textId="77777777" w:rsidR="000A2207" w:rsidRDefault="000A2207">
    <w:pPr>
      <w:widowControl w:val="0"/>
      <w:tabs>
        <w:tab w:val="center" w:pos="4819"/>
        <w:tab w:val="right" w:pos="9638"/>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C8BF" w14:textId="77777777" w:rsidR="000A2207" w:rsidRDefault="00391D30">
    <w:pPr>
      <w:widowControl w:val="0"/>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967BF1">
      <w:rPr>
        <w:noProof/>
        <w:szCs w:val="24"/>
        <w:lang w:eastAsia="lt-LT"/>
      </w:rPr>
      <w:t>2</w:t>
    </w:r>
    <w:r>
      <w:rPr>
        <w:szCs w:val="24"/>
        <w:lang w:eastAsia="lt-LT"/>
      </w:rPr>
      <w:fldChar w:fldCharType="end"/>
    </w:r>
  </w:p>
  <w:p w14:paraId="1336C8C0" w14:textId="77777777" w:rsidR="000A2207" w:rsidRDefault="000A2207">
    <w:pPr>
      <w:widowControl w:val="0"/>
      <w:tabs>
        <w:tab w:val="center" w:pos="4819"/>
        <w:tab w:val="right" w:pos="9638"/>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C8C3" w14:textId="77777777" w:rsidR="000A2207" w:rsidRDefault="000A2207">
    <w:pPr>
      <w:widowControl w:val="0"/>
      <w:tabs>
        <w:tab w:val="center" w:pos="4819"/>
        <w:tab w:val="right" w:pos="9638"/>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EA"/>
    <w:rsid w:val="000A2207"/>
    <w:rsid w:val="00391D30"/>
    <w:rsid w:val="003B7EEA"/>
    <w:rsid w:val="007007DD"/>
    <w:rsid w:val="00967BF1"/>
    <w:rsid w:val="00994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36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91D30"/>
    <w:rPr>
      <w:rFonts w:ascii="Tahoma" w:hAnsi="Tahoma" w:cs="Tahoma"/>
      <w:sz w:val="16"/>
      <w:szCs w:val="16"/>
    </w:rPr>
  </w:style>
  <w:style w:type="character" w:customStyle="1" w:styleId="DebesliotekstasDiagrama">
    <w:name w:val="Debesėlio tekstas Diagrama"/>
    <w:basedOn w:val="Numatytasispastraiposriftas"/>
    <w:link w:val="Debesliotekstas"/>
    <w:rsid w:val="00391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91D30"/>
    <w:rPr>
      <w:rFonts w:ascii="Tahoma" w:hAnsi="Tahoma" w:cs="Tahoma"/>
      <w:sz w:val="16"/>
      <w:szCs w:val="16"/>
    </w:rPr>
  </w:style>
  <w:style w:type="character" w:customStyle="1" w:styleId="DebesliotekstasDiagrama">
    <w:name w:val="Debesėlio tekstas Diagrama"/>
    <w:basedOn w:val="Numatytasispastraiposriftas"/>
    <w:link w:val="Debesliotekstas"/>
    <w:rsid w:val="00391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1849</Words>
  <Characters>1055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2899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2016-09-07T13:29:00Z</dcterms:created>
  <dc:creator>Inga Cechanovičienė</dc:creator>
  <lastModifiedBy>PETRAUSKAITĖ Girmantė</lastModifiedBy>
  <lastPrinted>2016-08-19T11:05:00Z</lastPrinted>
  <dcterms:modified xsi:type="dcterms:W3CDTF">2016-11-03T08:01:00Z</dcterms:modified>
  <revision>5</revision>
</coreProperties>
</file>