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8BBFB62" wp14:editId="6EA7C03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VYRIAUSYBĖS ĮSTATYMO NR. I-464 PAPILDYMO 30</w:t>
      </w:r>
      <w:r>
        <w:rPr>
          <w:b/>
          <w:caps/>
          <w:vertAlign w:val="superscript"/>
        </w:rPr>
        <w:t>2</w:t>
      </w:r>
      <w:r>
        <w:rPr>
          <w:b/>
          <w:caps/>
        </w:rPr>
        <w:t xml:space="preserve"> STRAIPSNIU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liepos</w:t>
      </w:r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XIII-2366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papildymas 30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straipsniu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Papildyti Įstatymą 30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straipsniu:</w:t>
      </w:r>
    </w:p>
    <w:p>
      <w:pPr>
        <w:spacing w:line="360" w:lineRule="auto"/>
        <w:ind w:firstLine="720"/>
        <w:jc w:val="both"/>
        <w:rPr>
          <w:bCs/>
          <w:strike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30</w:t>
      </w:r>
      <w:r>
        <w:rPr>
          <w:b/>
          <w:bCs/>
          <w:szCs w:val="24"/>
          <w:vertAlign w:val="superscript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color w:val="000000"/>
          <w:szCs w:val="24"/>
        </w:rPr>
        <w:t>Vyriausybės strateginės analizės centras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</w:rPr>
        <w:t xml:space="preserve"> Vyriausybės strateginės analizės centras yra viešoji įstaiga, kurios savininkė yra valstybė, o savininko teises ir pareigas įgyvendina Vyriausybė arba jos įgaliota institucija.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Vyriausybės strateginės analizės centras</w:t>
      </w:r>
      <w:r>
        <w:rPr>
          <w:szCs w:val="24"/>
        </w:rPr>
        <w:t xml:space="preserve"> yra ekspertinė institucija, teikianti Vyriausybei ir ministerijoms nepriklausomą, tiriamąja veikla grįstą informaciją, reikalingą įrodymais pagrįstiems viešosios politikos sprendimams priimti. </w:t>
      </w:r>
      <w:r>
        <w:rPr>
          <w:color w:val="000000"/>
          <w:szCs w:val="24"/>
        </w:rPr>
        <w:t>Vyriausybės strateginės analizės centras</w:t>
      </w:r>
      <w:r>
        <w:rPr>
          <w:szCs w:val="24"/>
        </w:rPr>
        <w:t xml:space="preserve"> veikia pagal Vyriausybės tvirtinamus įstatus.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color w:val="000000"/>
          <w:szCs w:val="24"/>
        </w:rPr>
        <w:t>Vyriausybės strateginės analizės centras: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) atlieka tyrimus ir vertinimus, rengia prognozes strateginiais klausimais;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) remdamasis atliktų tyrimų ir vertinimų rezultatais, teikia išvadas Vyriausybei dėl valstybės valdymo sričių tobulinimo;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) telkia valstybės institucijų ir įstaigų, kitų organizacijų turimas analitines kompetencijas į bendradarbiavimo tinklą ir koordinuoja šio tinklo veiklą;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) konsultuoja valstybės ir savivaldybių institucijas ir įstaigas metodiniais klausimais dėl įrodymais grįstų sprendimų projektų rengimo;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>) renka, apdoroja jo funkcijoms atlikti reikalingus duomenis, pagal kompetenciją teikia statistinę informaciją</w:t>
      </w:r>
      <w:r>
        <w:rPr>
          <w:szCs w:val="24"/>
        </w:rPr>
        <w:t xml:space="preserve"> Vyriausybei ir ministerijoms</w:t>
      </w:r>
      <w:r>
        <w:rPr>
          <w:color w:val="000000"/>
          <w:szCs w:val="24"/>
        </w:rPr>
        <w:t>;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>) atlieka Lietuvos Respublikos technologijų ir inovacijų įstatyme, Lietuvos Respublikos mokslo ir studijų įstatyme, Lietuvos Respublikos profesinio mokymo įstatyme, Lietuvos Respublikos užimtumo įstatyme ir kituose teisės aktuose nustatytas funkcijas.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Vyriausybės strateginės analizės centro lėšas sudaro valstybės biudžeto asignavimai, pajamos už suteiktas paslaugas, lėšos, gautos kaip parama, ir kitos gautos lėšos.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>. Vyriausybės strateginės analizės centras turi teisę gauti iš valstybės ir savivaldybių institucijų, įstaigų, įmonių ir kitų organizacijų, valstybės registrų ir informacinių sistemų visą jo funkcijoms atlikti reikalingą informaciją.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>. Vyriausybės strateginės analizės centras gali būti organizacijų, veikiančių su jo veikla susijusiose srityse, narys.“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Šis įstatymas, išskyrus šio straipsnio 2 dalį, įsigalioja 2019 m. rugpjūčio 1 d.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Lietuvos Respublikos Vyriausybė iki 2019 m. liepos 31 d. priima </w:t>
      </w:r>
      <w:r>
        <w:rPr>
          <w:szCs w:val="24"/>
        </w:rPr>
        <w:t>šio įstatymo įgyvendinamuosius</w:t>
      </w:r>
      <w:r>
        <w:rPr>
          <w:color w:val="000000"/>
          <w:szCs w:val="24"/>
        </w:rPr>
        <w:t xml:space="preserve"> </w:t>
      </w:r>
      <w:r>
        <w:rPr>
          <w:szCs w:val="24"/>
        </w:rPr>
        <w:t>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2268</Characters>
  <Application>Microsoft Office Word</Application>
  <DocSecurity>4</DocSecurity>
  <Lines>51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2551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2019-07-29T05:50:00Z</dcterms:created>
  <dc:creator>„Windows“ vartotojas</dc:creator>
  <lastModifiedBy>adlibuser</lastModifiedBy>
  <lastPrinted>2019-07-17T07:04:00Z</lastPrinted>
  <dcterms:modified xsi:type="dcterms:W3CDTF">2019-07-29T05:50:00Z</dcterms:modified>
  <revision>2</revision>
</coreProperties>
</file>