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BA2F5" w14:textId="77777777" w:rsidR="00364821" w:rsidRDefault="00364821">
      <w:pPr>
        <w:tabs>
          <w:tab w:val="center" w:pos="4153"/>
          <w:tab w:val="right" w:pos="8306"/>
        </w:tabs>
        <w:rPr>
          <w:lang w:val="en-US"/>
        </w:rPr>
      </w:pPr>
    </w:p>
    <w:p w14:paraId="3CCBA2F6" w14:textId="77777777" w:rsidR="00364821" w:rsidRDefault="00924C44">
      <w:pPr>
        <w:tabs>
          <w:tab w:val="center" w:pos="4153"/>
          <w:tab w:val="right" w:pos="8306"/>
        </w:tabs>
        <w:jc w:val="center"/>
        <w:rPr>
          <w:szCs w:val="24"/>
        </w:rPr>
      </w:pPr>
      <w:r>
        <w:rPr>
          <w:szCs w:val="24"/>
          <w:lang w:val="en-US"/>
        </w:rPr>
        <w:object w:dxaOrig="811" w:dyaOrig="961" w14:anchorId="3CCBA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463987579" r:id="rId9"/>
        </w:object>
      </w:r>
    </w:p>
    <w:p w14:paraId="3CCBA2F7" w14:textId="77777777" w:rsidR="00364821" w:rsidRDefault="00364821">
      <w:pPr>
        <w:jc w:val="center"/>
        <w:rPr>
          <w:szCs w:val="24"/>
        </w:rPr>
      </w:pPr>
    </w:p>
    <w:p w14:paraId="3CCBA2F8" w14:textId="77777777" w:rsidR="00364821" w:rsidRDefault="00924C44">
      <w:pPr>
        <w:jc w:val="center"/>
        <w:rPr>
          <w:b/>
          <w:szCs w:val="24"/>
        </w:rPr>
      </w:pPr>
      <w:r>
        <w:rPr>
          <w:b/>
          <w:szCs w:val="24"/>
        </w:rPr>
        <w:t>LIETUVOS RESPUBLIKOS SVEIKATOS APSAUGOS MINISTRAS</w:t>
      </w:r>
    </w:p>
    <w:p w14:paraId="3CCBA2F9" w14:textId="77777777" w:rsidR="00364821" w:rsidRDefault="00364821">
      <w:pPr>
        <w:jc w:val="center"/>
        <w:rPr>
          <w:b/>
          <w:szCs w:val="24"/>
        </w:rPr>
      </w:pPr>
    </w:p>
    <w:p w14:paraId="3CCBA2FA" w14:textId="77777777" w:rsidR="00364821" w:rsidRDefault="00924C44">
      <w:pPr>
        <w:jc w:val="center"/>
        <w:rPr>
          <w:b/>
          <w:szCs w:val="24"/>
        </w:rPr>
      </w:pPr>
      <w:r>
        <w:rPr>
          <w:b/>
          <w:szCs w:val="24"/>
        </w:rPr>
        <w:t>ĮSAKYMAS</w:t>
      </w:r>
    </w:p>
    <w:p w14:paraId="3CCBA2FB" w14:textId="77777777" w:rsidR="00364821" w:rsidRDefault="00364821">
      <w:pPr>
        <w:jc w:val="center"/>
        <w:rPr>
          <w:b/>
          <w:szCs w:val="24"/>
        </w:rPr>
      </w:pPr>
    </w:p>
    <w:p w14:paraId="3CCBA2FC" w14:textId="77777777" w:rsidR="00364821" w:rsidRDefault="00924C44">
      <w:pPr>
        <w:jc w:val="center"/>
        <w:rPr>
          <w:b/>
          <w:szCs w:val="24"/>
        </w:rPr>
      </w:pPr>
      <w:r>
        <w:rPr>
          <w:b/>
          <w:szCs w:val="24"/>
        </w:rPr>
        <w:t xml:space="preserve">DĖL LIETUVOS RESPUBLIKOS SVEIKATOS APSAUGOS MINISTRO 2000 M. GRUODŽIO 11 D. ĮSAKYMO NR. 719 „DĖL SVEIKATOS APSAUGOS MINISTRO 1999 11 29 ĮSAKYMO NR. 515 „DĖL </w:t>
      </w:r>
      <w:r>
        <w:rPr>
          <w:b/>
          <w:szCs w:val="24"/>
        </w:rPr>
        <w:t>SVEIKATOS PRIEŽIŪROS ĮSTAIGŲ VEIKLOS APSKAITOS IR ATSKAITOMYBĖS“ DALINIO PAKEITIMO“ PAKEITIMO</w:t>
      </w:r>
    </w:p>
    <w:p w14:paraId="3CCBA2FD" w14:textId="77777777" w:rsidR="00364821" w:rsidRDefault="00364821">
      <w:pPr>
        <w:jc w:val="center"/>
        <w:rPr>
          <w:szCs w:val="24"/>
        </w:rPr>
      </w:pPr>
    </w:p>
    <w:p w14:paraId="3CCBA2FE" w14:textId="77777777" w:rsidR="00364821" w:rsidRDefault="00924C44">
      <w:pPr>
        <w:jc w:val="center"/>
        <w:rPr>
          <w:szCs w:val="24"/>
        </w:rPr>
      </w:pPr>
      <w:smartTag w:uri="schemas-tilde-lv/tildestengine" w:element="metric2">
        <w:smartTagPr>
          <w:attr w:name="metric_text" w:val="m"/>
          <w:attr w:name="metric_value" w:val="2014"/>
        </w:smartTagPr>
        <w:r>
          <w:rPr>
            <w:szCs w:val="24"/>
          </w:rPr>
          <w:t>2014 m</w:t>
        </w:r>
      </w:smartTag>
      <w:r>
        <w:rPr>
          <w:szCs w:val="24"/>
        </w:rPr>
        <w:t>. birželio 9 d. Nr. V-666</w:t>
      </w:r>
    </w:p>
    <w:p w14:paraId="3CCBA2FF" w14:textId="77777777" w:rsidR="00364821" w:rsidRDefault="00924C44">
      <w:pPr>
        <w:jc w:val="center"/>
        <w:rPr>
          <w:szCs w:val="24"/>
        </w:rPr>
      </w:pPr>
      <w:r>
        <w:rPr>
          <w:szCs w:val="24"/>
        </w:rPr>
        <w:t>Vilnius</w:t>
      </w:r>
    </w:p>
    <w:p w14:paraId="3CCBA300" w14:textId="77777777" w:rsidR="00364821" w:rsidRDefault="00364821">
      <w:pPr>
        <w:jc w:val="center"/>
        <w:rPr>
          <w:szCs w:val="24"/>
        </w:rPr>
      </w:pPr>
    </w:p>
    <w:p w14:paraId="3CCBA301" w14:textId="77777777" w:rsidR="00364821" w:rsidRDefault="00924C44">
      <w:pPr>
        <w:ind w:firstLine="720"/>
        <w:jc w:val="both"/>
        <w:rPr>
          <w:szCs w:val="24"/>
        </w:rPr>
      </w:pPr>
      <w:r>
        <w:rPr>
          <w:szCs w:val="24"/>
        </w:rPr>
        <w:t>1</w:t>
      </w:r>
      <w:r>
        <w:rPr>
          <w:szCs w:val="24"/>
        </w:rPr>
        <w:t xml:space="preserve">. </w:t>
      </w:r>
      <w:r>
        <w:rPr>
          <w:spacing w:val="80"/>
          <w:szCs w:val="24"/>
        </w:rPr>
        <w:t>Pakeičiu</w:t>
      </w:r>
      <w:r>
        <w:rPr>
          <w:szCs w:val="24"/>
        </w:rPr>
        <w:t xml:space="preserve"> Lietuvos Respublikos sveikatos apsaugos ministro </w:t>
      </w:r>
      <w:smartTag w:uri="schemas-tilde-lv/tildestengine" w:element="metric2">
        <w:smartTagPr>
          <w:attr w:name="metric_text" w:val="m"/>
          <w:attr w:name="metric_value" w:val="2000"/>
        </w:smartTagPr>
        <w:r>
          <w:rPr>
            <w:szCs w:val="24"/>
          </w:rPr>
          <w:t>2000 m</w:t>
        </w:r>
      </w:smartTag>
      <w:r>
        <w:rPr>
          <w:szCs w:val="24"/>
        </w:rPr>
        <w:t>. gruodžio 11 d. įsakymą Nr. 719 „Dėl sveikatos aps</w:t>
      </w:r>
      <w:r>
        <w:rPr>
          <w:szCs w:val="24"/>
        </w:rPr>
        <w:t>augos ministro 1999 11 29 įsakymo Nr. 515 „Dėl sveikatos priežiūros įstaigų veiklos apskaitos ir atskaitomybės“ dalinio pakeitimo“:</w:t>
      </w:r>
    </w:p>
    <w:p w14:paraId="3CCBA302" w14:textId="77777777" w:rsidR="00364821" w:rsidRDefault="00924C44">
      <w:pPr>
        <w:ind w:firstLine="720"/>
        <w:jc w:val="both"/>
        <w:rPr>
          <w:szCs w:val="24"/>
        </w:rPr>
      </w:pPr>
      <w:r>
        <w:rPr>
          <w:szCs w:val="24"/>
        </w:rPr>
        <w:t>1.1</w:t>
      </w:r>
      <w:r>
        <w:rPr>
          <w:szCs w:val="24"/>
        </w:rPr>
        <w:t>. Pakeičiu 1 punktą ir jį išdėstau taip:</w:t>
      </w:r>
    </w:p>
    <w:p w14:paraId="3CCBA303" w14:textId="77777777" w:rsidR="00364821" w:rsidRDefault="00924C44">
      <w:pPr>
        <w:ind w:firstLine="720"/>
        <w:jc w:val="both"/>
        <w:rPr>
          <w:szCs w:val="24"/>
        </w:rPr>
      </w:pPr>
      <w:r>
        <w:rPr>
          <w:szCs w:val="24"/>
        </w:rPr>
        <w:t>„</w:t>
      </w:r>
      <w:r>
        <w:rPr>
          <w:szCs w:val="24"/>
        </w:rPr>
        <w:t>1</w:t>
      </w:r>
      <w:r>
        <w:rPr>
          <w:szCs w:val="24"/>
        </w:rPr>
        <w:t xml:space="preserve">. P a k e i č i u Lietuvos Respublikos sveikatos apsaugos ministro </w:t>
      </w:r>
      <w:smartTag w:uri="schemas-tilde-lv/tildestengine" w:element="metric2">
        <w:smartTagPr>
          <w:attr w:name="metric_text" w:val="m"/>
          <w:attr w:name="metric_value" w:val="1999"/>
        </w:smartTagPr>
        <w:r>
          <w:rPr>
            <w:szCs w:val="24"/>
          </w:rPr>
          <w:t>1999 m</w:t>
        </w:r>
      </w:smartTag>
      <w:r>
        <w:rPr>
          <w:szCs w:val="24"/>
        </w:rPr>
        <w:t>.</w:t>
      </w:r>
      <w:r>
        <w:rPr>
          <w:szCs w:val="24"/>
        </w:rPr>
        <w:t xml:space="preserve"> lapkričio 29 d. įsakymu Nr. 515 „Dėl sveikatos priežiūros įstaigų veiklos apskaitos ir atskaitomybės“ patvirtintų Privalomų sveikatos statistikos apskaitos ir kitų tipinių formų, pildomų sveikatos priežiūros įstaigose, sąrašo ir saugojimo terminų 21 ir 22</w:t>
      </w:r>
      <w:r>
        <w:rPr>
          <w:szCs w:val="24"/>
        </w:rPr>
        <w:t xml:space="preserve"> punktus ir tvirtinu apskaitos formas Nr. 010-1-1/a „Naujagimio kortelė“ ir 010-2-1/a „</w:t>
      </w:r>
      <w:proofErr w:type="spellStart"/>
      <w:r>
        <w:rPr>
          <w:szCs w:val="24"/>
        </w:rPr>
        <w:t>Negyvagimio</w:t>
      </w:r>
      <w:proofErr w:type="spellEnd"/>
      <w:r>
        <w:rPr>
          <w:szCs w:val="24"/>
        </w:rPr>
        <w:t xml:space="preserve"> kortelė“ (pridedama).“</w:t>
      </w:r>
    </w:p>
    <w:p w14:paraId="3CCBA304" w14:textId="77777777" w:rsidR="00364821" w:rsidRDefault="00924C44">
      <w:pPr>
        <w:ind w:firstLine="720"/>
        <w:jc w:val="both"/>
        <w:rPr>
          <w:szCs w:val="24"/>
        </w:rPr>
      </w:pPr>
      <w:r>
        <w:rPr>
          <w:szCs w:val="24"/>
        </w:rPr>
        <w:t>1.2</w:t>
      </w:r>
      <w:r>
        <w:rPr>
          <w:szCs w:val="24"/>
        </w:rPr>
        <w:t>. Pripažįstu netekusia galios nurodytuoju įsakymu patvirtintą formą 106-2-1/a „Medicininis perinatalinės mirties liudijimas</w:t>
      </w:r>
      <w:r>
        <w:rPr>
          <w:szCs w:val="24"/>
        </w:rPr>
        <w:t>“.</w:t>
      </w:r>
    </w:p>
    <w:p w14:paraId="3CCBA305" w14:textId="77777777" w:rsidR="00364821" w:rsidRDefault="00924C44">
      <w:pPr>
        <w:ind w:firstLine="720"/>
        <w:jc w:val="both"/>
        <w:rPr>
          <w:szCs w:val="24"/>
        </w:rPr>
      </w:pPr>
      <w:r>
        <w:rPr>
          <w:szCs w:val="24"/>
        </w:rPr>
        <w:t>2</w:t>
      </w:r>
      <w:r>
        <w:rPr>
          <w:szCs w:val="24"/>
        </w:rPr>
        <w:t xml:space="preserve">. </w:t>
      </w:r>
      <w:r>
        <w:rPr>
          <w:spacing w:val="60"/>
          <w:szCs w:val="24"/>
        </w:rPr>
        <w:t>Nustatau</w:t>
      </w:r>
      <w:r>
        <w:rPr>
          <w:szCs w:val="24"/>
        </w:rPr>
        <w:t xml:space="preserve">, kad šis įsakymas įsigalioja </w:t>
      </w:r>
      <w:smartTag w:uri="schemas-tilde-lv/tildestengine" w:element="metric2">
        <w:smartTagPr>
          <w:attr w:name="metric_text" w:val="m"/>
          <w:attr w:name="metric_value" w:val="2014"/>
        </w:smartTagPr>
        <w:r>
          <w:rPr>
            <w:szCs w:val="24"/>
          </w:rPr>
          <w:t>2014 m</w:t>
        </w:r>
      </w:smartTag>
      <w:r>
        <w:rPr>
          <w:szCs w:val="24"/>
        </w:rPr>
        <w:t>. rugsėjo 1 d.</w:t>
      </w:r>
    </w:p>
    <w:p w14:paraId="3CCBA306" w14:textId="77777777" w:rsidR="00364821" w:rsidRDefault="00364821">
      <w:pPr>
        <w:ind w:firstLine="720"/>
        <w:jc w:val="both"/>
        <w:rPr>
          <w:szCs w:val="24"/>
        </w:rPr>
      </w:pPr>
    </w:p>
    <w:p w14:paraId="16471179" w14:textId="77777777" w:rsidR="00924C44" w:rsidRDefault="00924C44">
      <w:pPr>
        <w:ind w:firstLine="720"/>
        <w:jc w:val="both"/>
        <w:rPr>
          <w:szCs w:val="24"/>
        </w:rPr>
      </w:pPr>
    </w:p>
    <w:p w14:paraId="3F760B59" w14:textId="77777777" w:rsidR="00924C44" w:rsidRDefault="00924C44">
      <w:pPr>
        <w:ind w:firstLine="720"/>
        <w:jc w:val="both"/>
        <w:rPr>
          <w:szCs w:val="24"/>
        </w:rPr>
      </w:pPr>
    </w:p>
    <w:p w14:paraId="3CCBA307" w14:textId="77777777" w:rsidR="00364821" w:rsidRDefault="00924C44">
      <w:pPr>
        <w:jc w:val="both"/>
        <w:rPr>
          <w:szCs w:val="24"/>
        </w:rPr>
      </w:pPr>
    </w:p>
    <w:p w14:paraId="3CCBA309" w14:textId="1998CEED" w:rsidR="00364821" w:rsidRDefault="00924C44">
      <w:pPr>
        <w:rPr>
          <w:szCs w:val="24"/>
        </w:rPr>
      </w:pPr>
      <w:r>
        <w:rPr>
          <w:szCs w:val="24"/>
        </w:rPr>
        <w:t xml:space="preserve">Sveikatos apsaugos ministras </w:t>
      </w:r>
      <w:r>
        <w:rPr>
          <w:szCs w:val="24"/>
        </w:rPr>
        <w:tab/>
      </w:r>
      <w:r>
        <w:rPr>
          <w:szCs w:val="24"/>
        </w:rPr>
        <w:tab/>
      </w:r>
      <w:r>
        <w:rPr>
          <w:szCs w:val="24"/>
        </w:rPr>
        <w:tab/>
      </w:r>
      <w:r>
        <w:rPr>
          <w:szCs w:val="24"/>
        </w:rPr>
        <w:tab/>
      </w:r>
      <w:r>
        <w:rPr>
          <w:szCs w:val="24"/>
        </w:rPr>
        <w:tab/>
      </w:r>
      <w:r>
        <w:rPr>
          <w:szCs w:val="24"/>
        </w:rPr>
        <w:tab/>
      </w:r>
      <w:r>
        <w:rPr>
          <w:szCs w:val="24"/>
        </w:rPr>
        <w:t>Vytenis Povilas Andriukaitis</w:t>
      </w:r>
    </w:p>
    <w:p w14:paraId="3CCBA318" w14:textId="77777777" w:rsidR="00364821" w:rsidRDefault="00924C44">
      <w:pPr>
        <w:tabs>
          <w:tab w:val="left" w:pos="5580"/>
          <w:tab w:val="right" w:pos="9808"/>
        </w:tabs>
        <w:rPr>
          <w:caps/>
          <w:szCs w:val="24"/>
        </w:rPr>
      </w:pPr>
    </w:p>
    <w:bookmarkStart w:id="0" w:name="_GoBack" w:displacedByCustomXml="prev"/>
    <w:bookmarkEnd w:id="0" w:displacedByCustomXml="prev"/>
    <w:sectPr w:rsidR="0036482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BA31C" w14:textId="77777777" w:rsidR="00364821" w:rsidRDefault="00924C44">
      <w:pPr>
        <w:rPr>
          <w:szCs w:val="24"/>
        </w:rPr>
      </w:pPr>
      <w:r>
        <w:rPr>
          <w:szCs w:val="24"/>
        </w:rPr>
        <w:separator/>
      </w:r>
    </w:p>
  </w:endnote>
  <w:endnote w:type="continuationSeparator" w:id="0">
    <w:p w14:paraId="3CCBA31D" w14:textId="77777777" w:rsidR="00364821" w:rsidRDefault="00924C4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A321" w14:textId="77777777" w:rsidR="00364821" w:rsidRDefault="00364821">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A322" w14:textId="77777777" w:rsidR="00364821" w:rsidRDefault="00364821">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A324" w14:textId="77777777" w:rsidR="00364821" w:rsidRDefault="00364821">
    <w:pPr>
      <w:tabs>
        <w:tab w:val="center" w:pos="4819"/>
        <w:tab w:val="right" w:pos="9638"/>
      </w:tabs>
      <w:rPr>
        <w:szCs w:val="24"/>
        <w:lang w:val="en-GB"/>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3CCBA31B" w14:textId="77777777" w:rsidR="00364821" w:rsidRDefault="00924C44">
      <w:pPr>
        <w:rPr>
          <w:szCs w:val="24"/>
        </w:rPr>
      </w:pPr>
      <w:r>
        <w:rPr>
          <w:szCs w:val="24"/>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3CCBA31A" w14:textId="77777777" w:rsidR="00364821" w:rsidRDefault="00924C44">
      <w:pPr>
        <w:rPr>
          <w:szCs w:val="24"/>
        </w:rPr>
      </w:pPr>
      <w:r>
        <w:rPr>
          <w:szCs w:val="24"/>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A31E" w14:textId="77777777" w:rsidR="00364821" w:rsidRDefault="00364821">
    <w:pPr>
      <w:tabs>
        <w:tab w:val="center" w:pos="4153"/>
        <w:tab w:val="right" w:pos="8306"/>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A31F" w14:textId="77777777" w:rsidR="00364821" w:rsidRDefault="00924C44">
    <w:pPr>
      <w:tabs>
        <w:tab w:val="center" w:pos="4153"/>
        <w:tab w:val="right" w:pos="8306"/>
      </w:tabs>
      <w:jc w:val="center"/>
      <w:rPr>
        <w:lang w:val="en-US"/>
      </w:rPr>
    </w:pPr>
    <w:r>
      <w:rPr>
        <w:lang w:val="en-US"/>
      </w:rPr>
      <w:fldChar w:fldCharType="begin"/>
    </w:r>
    <w:r>
      <w:rPr>
        <w:lang w:val="en-US"/>
      </w:rPr>
      <w:instrText>PAGE   \* MERGEFORMAT</w:instrText>
    </w:r>
    <w:r>
      <w:rPr>
        <w:lang w:val="en-US"/>
      </w:rPr>
      <w:fldChar w:fldCharType="separate"/>
    </w:r>
    <w:r>
      <w:t>2</w:t>
    </w:r>
    <w:r>
      <w:fldChar w:fldCharType="end"/>
    </w:r>
  </w:p>
  <w:p w14:paraId="3CCBA320" w14:textId="77777777" w:rsidR="00364821" w:rsidRDefault="00364821">
    <w:pPr>
      <w:tabs>
        <w:tab w:val="center" w:pos="4153"/>
        <w:tab w:val="right" w:pos="8306"/>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A323" w14:textId="77777777" w:rsidR="00364821" w:rsidRDefault="00364821">
    <w:pPr>
      <w:tabs>
        <w:tab w:val="center" w:pos="4153"/>
        <w:tab w:val="right" w:pos="8306"/>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53"/>
    <w:rsid w:val="000A0653"/>
    <w:rsid w:val="00364821"/>
    <w:rsid w:val="0092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7"/>
    <o:shapelayout v:ext="edit">
      <o:idmap v:ext="edit" data="1"/>
    </o:shapelayout>
  </w:shapeDefaults>
  <w:decimalSymbol w:val=","/>
  <w:listSeparator w:val=";"/>
  <w14:docId w14:val="3CCB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24C44"/>
    <w:rPr>
      <w:rFonts w:ascii="Tahoma" w:hAnsi="Tahoma" w:cs="Tahoma"/>
      <w:sz w:val="16"/>
      <w:szCs w:val="16"/>
    </w:rPr>
  </w:style>
  <w:style w:type="character" w:customStyle="1" w:styleId="DebesliotekstasDiagrama">
    <w:name w:val="Debesėlio tekstas Diagrama"/>
    <w:basedOn w:val="Numatytasispastraiposriftas"/>
    <w:link w:val="Debesliotekstas"/>
    <w:rsid w:val="00924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24C44"/>
    <w:rPr>
      <w:rFonts w:ascii="Tahoma" w:hAnsi="Tahoma" w:cs="Tahoma"/>
      <w:sz w:val="16"/>
      <w:szCs w:val="16"/>
    </w:rPr>
  </w:style>
  <w:style w:type="character" w:customStyle="1" w:styleId="DebesliotekstasDiagrama">
    <w:name w:val="Debesėlio tekstas Diagrama"/>
    <w:basedOn w:val="Numatytasispastraiposriftas"/>
    <w:link w:val="Debesliotekstas"/>
    <w:rsid w:val="00924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2103">
      <w:marLeft w:val="0"/>
      <w:marRight w:val="0"/>
      <w:marTop w:val="0"/>
      <w:marBottom w:val="0"/>
      <w:divBdr>
        <w:top w:val="none" w:sz="0" w:space="0" w:color="auto"/>
        <w:left w:val="none" w:sz="0" w:space="0" w:color="auto"/>
        <w:bottom w:val="none" w:sz="0" w:space="0" w:color="auto"/>
        <w:right w:val="none" w:sz="0" w:space="0" w:color="auto"/>
      </w:divBdr>
    </w:div>
    <w:div w:id="1500972104">
      <w:marLeft w:val="0"/>
      <w:marRight w:val="0"/>
      <w:marTop w:val="0"/>
      <w:marBottom w:val="0"/>
      <w:divBdr>
        <w:top w:val="none" w:sz="0" w:space="0" w:color="auto"/>
        <w:left w:val="none" w:sz="0" w:space="0" w:color="auto"/>
        <w:bottom w:val="none" w:sz="0" w:space="0" w:color="auto"/>
        <w:right w:val="none" w:sz="0" w:space="0" w:color="auto"/>
      </w:divBdr>
    </w:div>
    <w:div w:id="1500972106">
      <w:marLeft w:val="0"/>
      <w:marRight w:val="0"/>
      <w:marTop w:val="0"/>
      <w:marBottom w:val="0"/>
      <w:divBdr>
        <w:top w:val="none" w:sz="0" w:space="0" w:color="auto"/>
        <w:left w:val="none" w:sz="0" w:space="0" w:color="auto"/>
        <w:bottom w:val="none" w:sz="0" w:space="0" w:color="auto"/>
        <w:right w:val="none" w:sz="0" w:space="0" w:color="auto"/>
      </w:divBdr>
    </w:div>
    <w:div w:id="1500972107">
      <w:marLeft w:val="225"/>
      <w:marRight w:val="225"/>
      <w:marTop w:val="0"/>
      <w:marBottom w:val="0"/>
      <w:divBdr>
        <w:top w:val="none" w:sz="0" w:space="0" w:color="auto"/>
        <w:left w:val="none" w:sz="0" w:space="0" w:color="auto"/>
        <w:bottom w:val="none" w:sz="0" w:space="0" w:color="auto"/>
        <w:right w:val="none" w:sz="0" w:space="0" w:color="auto"/>
      </w:divBdr>
      <w:divsChild>
        <w:div w:id="1500972105">
          <w:marLeft w:val="0"/>
          <w:marRight w:val="0"/>
          <w:marTop w:val="0"/>
          <w:marBottom w:val="0"/>
          <w:divBdr>
            <w:top w:val="none" w:sz="0" w:space="0" w:color="auto"/>
            <w:left w:val="none" w:sz="0" w:space="0" w:color="auto"/>
            <w:bottom w:val="none" w:sz="0" w:space="0" w:color="auto"/>
            <w:right w:val="none" w:sz="0" w:space="0" w:color="auto"/>
          </w:divBdr>
        </w:div>
      </w:divsChild>
    </w:div>
    <w:div w:id="1500972108">
      <w:marLeft w:val="0"/>
      <w:marRight w:val="0"/>
      <w:marTop w:val="0"/>
      <w:marBottom w:val="0"/>
      <w:divBdr>
        <w:top w:val="none" w:sz="0" w:space="0" w:color="auto"/>
        <w:left w:val="none" w:sz="0" w:space="0" w:color="auto"/>
        <w:bottom w:val="none" w:sz="0" w:space="0" w:color="auto"/>
        <w:right w:val="none" w:sz="0" w:space="0" w:color="auto"/>
      </w:divBdr>
      <w:divsChild>
        <w:div w:id="1500972110">
          <w:marLeft w:val="0"/>
          <w:marRight w:val="0"/>
          <w:marTop w:val="0"/>
          <w:marBottom w:val="0"/>
          <w:divBdr>
            <w:top w:val="none" w:sz="0" w:space="0" w:color="auto"/>
            <w:left w:val="none" w:sz="0" w:space="0" w:color="auto"/>
            <w:bottom w:val="none" w:sz="0" w:space="0" w:color="auto"/>
            <w:right w:val="none" w:sz="0" w:space="0" w:color="auto"/>
          </w:divBdr>
        </w:div>
        <w:div w:id="1500972112">
          <w:marLeft w:val="0"/>
          <w:marRight w:val="0"/>
          <w:marTop w:val="0"/>
          <w:marBottom w:val="0"/>
          <w:divBdr>
            <w:top w:val="none" w:sz="0" w:space="0" w:color="auto"/>
            <w:left w:val="none" w:sz="0" w:space="0" w:color="auto"/>
            <w:bottom w:val="none" w:sz="0" w:space="0" w:color="auto"/>
            <w:right w:val="none" w:sz="0" w:space="0" w:color="auto"/>
          </w:divBdr>
          <w:divsChild>
            <w:div w:id="15009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72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1231</Characters>
  <Application>Microsoft Office Word</Application>
  <DocSecurity>0</DocSecurity>
  <Lines>10</Lines>
  <Paragraphs>2</Paragraphs>
  <ScaleCrop>false</ScaleCrop>
  <Company>LR Seimas</Company>
  <LinksUpToDate>false</LinksUpToDate>
  <CharactersWithSpaces>1415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2014-06-11T05:31:00Z</dcterms:created>
  <dc:creator>irlauk</dc:creator>
  <lastModifiedBy>ŠYVOKIENĖ Lina</lastModifiedBy>
  <lastPrinted>2014-05-23T07:42:00Z</lastPrinted>
  <dcterms:modified xsi:type="dcterms:W3CDTF">2014-06-11T07:27:00Z</dcterms:modified>
  <revision>3</revision>
  <dc:title>LIETUVOS RESPUBLIKOS SVEIKATOS APSAUGOS MINISTRO</dc:title>
</coreProperties>
</file>