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BF4B308" wp14:editId="1584FFD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SEIMO RINKIMŲ ĮSTATYMO NR. I-2721 9, 15, 33, 86 IR 87 STRAIPSNIŲ PAKEITIMO</w:t>
      </w:r>
    </w:p>
    <w:p>
      <w:pPr>
        <w:jc w:val="center"/>
        <w:rPr>
          <w:b/>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rugpjūčio</w:t>
      </w:r>
      <w:r>
        <w:rPr>
          <w:szCs w:val="24"/>
        </w:rPr>
        <w:t xml:space="preserve"> </w:t>
      </w:r>
      <w:r>
        <w:rPr>
          <w:szCs w:val="24"/>
          <w:lang w:val="en-US"/>
        </w:rPr>
        <w:t>20</w:t>
      </w:r>
      <w:r>
        <w:rPr>
          <w:szCs w:val="24"/>
        </w:rPr>
        <w:t xml:space="preserve"> d. Nr. </w:t>
      </w:r>
      <w:r>
        <w:rPr>
          <w:szCs w:val="24"/>
          <w:lang w:val="en-US"/>
        </w:rPr>
        <w:t>XIII-2413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tLeast"/>
        <w:ind w:firstLine="720"/>
        <w:jc w:val="both"/>
        <w:rPr>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9 straipsnio pakeitimas</w:t>
      </w:r>
    </w:p>
    <w:p>
      <w:pPr>
        <w:spacing w:line="360" w:lineRule="atLeast"/>
        <w:ind w:firstLine="720"/>
        <w:jc w:val="both"/>
        <w:rPr>
          <w:color w:val="000000"/>
          <w:szCs w:val="24"/>
          <w:lang w:eastAsia="lt-LT"/>
        </w:rPr>
      </w:pPr>
      <w:r>
        <w:rPr>
          <w:color w:val="000000"/>
          <w:szCs w:val="24"/>
          <w:lang w:eastAsia="lt-LT"/>
        </w:rPr>
        <w:t>Pakeisti 9 straipsnio 1 dalį ir ją išdėstyti taip:</w:t>
      </w:r>
    </w:p>
    <w:p>
      <w:pPr>
        <w:spacing w:line="360" w:lineRule="atLeast"/>
        <w:ind w:firstLine="720"/>
        <w:jc w:val="both"/>
        <w:rPr>
          <w:color w:val="000000"/>
          <w:szCs w:val="24"/>
          <w:shd w:val="clear" w:color="auto" w:fill="FFFFFF"/>
        </w:rPr>
      </w:pPr>
      <w:r>
        <w:rPr>
          <w:color w:val="000000"/>
          <w:szCs w:val="24"/>
          <w:shd w:val="clear" w:color="auto" w:fill="FFFFFF"/>
        </w:rPr>
        <w:t>„</w:t>
      </w:r>
      <w:r>
        <w:rPr>
          <w:color w:val="000000"/>
          <w:szCs w:val="24"/>
          <w:shd w:val="clear" w:color="auto" w:fill="FFFFFF"/>
        </w:rPr>
        <w:t>1</w:t>
      </w:r>
      <w:r>
        <w:rPr>
          <w:color w:val="000000"/>
          <w:szCs w:val="24"/>
          <w:shd w:val="clear" w:color="auto" w:fill="FFFFFF"/>
        </w:rPr>
        <w:t xml:space="preserve">. Rinkimams organizuoti ir vykdyti sudaroma 71 vienmandatė rinkimų apygarda, atsižvelgiant į rinkėjų skaičių rinkimų apygardoje, Lietuvos Respublikos teritorijos suskirstymą į vienmandates rinkimų apygardas per ankstesnius Seimo rinkimus ir administracinį teritorinį padalijimą. Rinkimų </w:t>
      </w:r>
      <w:r>
        <w:rPr>
          <w:szCs w:val="24"/>
          <w:shd w:val="clear" w:color="auto" w:fill="FFFFFF"/>
        </w:rPr>
        <w:t xml:space="preserve">apygarda sudaroma iš bendrą ribą turinčių rinkimų apylinkių. Rinkėjų skaičius apygardoje turi būti nuo 0,9 iki 1,1 vidutinio rinkėjų visose vienmandatėse rinkimų apygardose skaičiaus. Vyriausioji rinkimų komisija, likus ne mažiau kaip 210 dienų iki rinkimų, nustato ir, likus ne mažiau kaip 180 dienų iki rinkimų, savo interneto svetainėje skelbia rinkimų apygardas sudarančių rinkimų apylinkių sąrašą, jų balsavimo būstinių </w:t>
      </w:r>
      <w:r>
        <w:rPr>
          <w:color w:val="000000"/>
          <w:szCs w:val="24"/>
          <w:shd w:val="clear" w:color="auto" w:fill="FFFFFF"/>
        </w:rPr>
        <w:t>adresus ir telefonus, apygardos rinkėjų skaičių, apygardų rinkimų komisijų adresus ir telefonus. Sudarant vienmandatę rinkimų apygardą, kurioje balsuoja šio įstatymo 33 straipsnio 1 dalyje nurodyti rinkėjai, jos rinkėjų skaičius nustatomas įskaičiuojant paskutiniuose rinkimuose dalyvavusių ir Lietuvos Respublikos diplomatinėse atstovybėse ir konsulinėse įstaigose balsavusių rinkėjų skaičių.“</w:t>
      </w:r>
    </w:p>
    <w:p>
      <w:pPr>
        <w:spacing w:line="360" w:lineRule="atLeast"/>
        <w:ind w:firstLine="720"/>
      </w:pPr>
    </w:p>
    <w:p>
      <w:pPr>
        <w:spacing w:line="360" w:lineRule="atLeast"/>
        <w:ind w:firstLine="720"/>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15 straipsnio pakeitimas</w:t>
      </w:r>
    </w:p>
    <w:p>
      <w:pPr>
        <w:spacing w:line="360" w:lineRule="atLeast"/>
        <w:ind w:firstLine="720"/>
        <w:jc w:val="both"/>
        <w:rPr>
          <w:bCs/>
          <w:color w:val="000000"/>
          <w:szCs w:val="24"/>
          <w:lang w:eastAsia="lt-LT"/>
        </w:rPr>
      </w:pPr>
      <w:r>
        <w:rPr>
          <w:bCs/>
          <w:color w:val="000000"/>
          <w:szCs w:val="24"/>
          <w:lang w:eastAsia="lt-LT"/>
        </w:rPr>
        <w:t>Papildyti 15 straipsnį 9 dalimi:</w:t>
      </w:r>
    </w:p>
    <w:p>
      <w:pPr>
        <w:spacing w:line="360" w:lineRule="atLeast"/>
        <w:ind w:firstLine="720"/>
        <w:jc w:val="both"/>
        <w:rPr>
          <w:szCs w:val="24"/>
        </w:rPr>
      </w:pPr>
      <w:r>
        <w:rPr>
          <w:szCs w:val="24"/>
        </w:rPr>
        <w:t>„</w:t>
      </w:r>
      <w:r>
        <w:rPr>
          <w:szCs w:val="24"/>
        </w:rPr>
        <w:t>9</w:t>
      </w:r>
      <w:r>
        <w:rPr>
          <w:szCs w:val="24"/>
        </w:rPr>
        <w:t>. Jeigu pagal šio įstatymo 33 straipsnio 2 dalį yra sudaroma Pasaulio lietuvių vienmandatė rinkimų apygarda, šios apygardos rinkimų komisijos funkcijas vykdo Vyriausioji rinkimų komisija.“</w:t>
      </w:r>
    </w:p>
    <w:p>
      <w:pPr>
        <w:spacing w:line="360" w:lineRule="atLeast"/>
        <w:ind w:firstLine="720"/>
      </w:pPr>
    </w:p>
    <w:p>
      <w:pPr>
        <w:spacing w:line="360" w:lineRule="atLeast"/>
        <w:ind w:firstLine="720"/>
        <w:jc w:val="both"/>
        <w:rPr>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33 straipsnio pakeitimas</w:t>
      </w:r>
    </w:p>
    <w:p>
      <w:pPr>
        <w:spacing w:line="360" w:lineRule="atLeast"/>
        <w:ind w:firstLine="720"/>
        <w:jc w:val="both"/>
        <w:rPr>
          <w:color w:val="000000"/>
          <w:szCs w:val="24"/>
          <w:lang w:eastAsia="lt-LT"/>
        </w:rPr>
      </w:pPr>
      <w:r>
        <w:rPr>
          <w:color w:val="000000"/>
          <w:szCs w:val="24"/>
          <w:lang w:eastAsia="lt-LT"/>
        </w:rPr>
        <w:t xml:space="preserve">Pakeisti </w:t>
      </w:r>
      <w:r>
        <w:rPr>
          <w:bCs/>
          <w:color w:val="000000"/>
          <w:szCs w:val="24"/>
          <w:lang w:eastAsia="lt-LT"/>
        </w:rPr>
        <w:t>33</w:t>
      </w:r>
      <w:r>
        <w:rPr>
          <w:color w:val="000000"/>
          <w:szCs w:val="24"/>
          <w:lang w:eastAsia="lt-LT"/>
        </w:rPr>
        <w:t xml:space="preserve"> straipsnį ir jį išdėstyti taip:</w:t>
      </w:r>
    </w:p>
    <w:p>
      <w:pPr>
        <w:spacing w:line="360" w:lineRule="atLeast"/>
        <w:ind w:left="2268" w:hanging="1548"/>
        <w:jc w:val="both"/>
        <w:rPr>
          <w:color w:val="000000"/>
          <w:szCs w:val="24"/>
          <w:lang w:eastAsia="lt-LT"/>
        </w:rPr>
      </w:pPr>
      <w:r>
        <w:rPr>
          <w:bCs/>
          <w:color w:val="000000"/>
          <w:szCs w:val="24"/>
          <w:lang w:eastAsia="lt-LT"/>
        </w:rPr>
        <w:t>„</w:t>
      </w:r>
      <w:r>
        <w:rPr>
          <w:b/>
          <w:bCs/>
          <w:color w:val="000000"/>
          <w:szCs w:val="24"/>
          <w:lang w:eastAsia="lt-LT"/>
        </w:rPr>
        <w:t>33</w:t>
      </w:r>
      <w:r>
        <w:rPr>
          <w:b/>
          <w:bCs/>
          <w:color w:val="000000"/>
          <w:szCs w:val="24"/>
          <w:lang w:eastAsia="lt-LT"/>
        </w:rPr>
        <w:t xml:space="preserve"> straipsnis. </w:t>
      </w:r>
      <w:r>
        <w:rPr>
          <w:b/>
          <w:bCs/>
          <w:color w:val="000000"/>
          <w:szCs w:val="24"/>
          <w:lang w:eastAsia="lt-LT"/>
        </w:rPr>
        <w:t>Užsienyje esančių Lietuvos Respublikos piliečių įrašymas į rinkėjų sąrašus</w:t>
      </w:r>
    </w:p>
    <w:p>
      <w:pPr>
        <w:spacing w:line="360" w:lineRule="atLeast"/>
        <w:ind w:firstLine="720"/>
        <w:jc w:val="both"/>
        <w:rPr>
          <w:color w:val="000000"/>
          <w:szCs w:val="24"/>
          <w:lang w:eastAsia="lt-LT"/>
        </w:rPr>
      </w:pPr>
      <w:r>
        <w:rPr>
          <w:color w:val="000000"/>
          <w:szCs w:val="24"/>
          <w:lang w:eastAsia="lt-LT"/>
        </w:rPr>
        <w:t>1</w:t>
      </w:r>
      <w:r>
        <w:rPr>
          <w:color w:val="000000"/>
          <w:szCs w:val="24"/>
          <w:lang w:eastAsia="lt-LT"/>
        </w:rPr>
        <w:t>. Kitose valstybėse esantys Lietuvos Respublikos piliečiai įrašomi į tos vienmandatės rinkimų apygardos, kurios teritorijoje yra Lietuvos Respublikos Seimas, rinkėjų sąrašą, išskyrus šio straipsnio 2 dalyje nurodytą atvejį.</w:t>
      </w:r>
    </w:p>
    <w:p>
      <w:pPr>
        <w:spacing w:line="360" w:lineRule="atLeast"/>
        <w:ind w:firstLine="720"/>
        <w:jc w:val="both"/>
        <w:rPr>
          <w:color w:val="000000"/>
          <w:szCs w:val="24"/>
          <w:shd w:val="clear" w:color="auto" w:fill="FFFFFF"/>
        </w:rPr>
      </w:pPr>
      <w:r>
        <w:rPr>
          <w:color w:val="000000"/>
          <w:szCs w:val="24"/>
          <w:lang w:eastAsia="lt-LT"/>
        </w:rPr>
        <w:t>2</w:t>
      </w:r>
      <w:r>
        <w:rPr>
          <w:color w:val="000000"/>
          <w:szCs w:val="24"/>
          <w:lang w:eastAsia="lt-LT"/>
        </w:rPr>
        <w:t xml:space="preserve">. Kai paskutiniuose rinkimuose </w:t>
      </w:r>
      <w:r>
        <w:rPr>
          <w:color w:val="000000"/>
          <w:szCs w:val="24"/>
          <w:shd w:val="clear" w:color="auto" w:fill="FFFFFF"/>
        </w:rPr>
        <w:t xml:space="preserve">dalyvavusių ir Lietuvos Respublikos diplomatinėse atstovybėse ir konsulinėse įstaigose balsavusių užsienyje esančių rinkėjų skaičius, kuris nustatomas iki Seimo rinkimų likus vieneriems metams, yra didesnis negu </w:t>
      </w:r>
      <w:r>
        <w:rPr>
          <w:szCs w:val="24"/>
          <w:shd w:val="clear" w:color="auto" w:fill="FFFFFF"/>
        </w:rPr>
        <w:t xml:space="preserve">0,9 </w:t>
      </w:r>
      <w:r>
        <w:rPr>
          <w:color w:val="000000"/>
          <w:szCs w:val="24"/>
          <w:shd w:val="clear" w:color="auto" w:fill="FFFFFF"/>
        </w:rPr>
        <w:t xml:space="preserve">vidutinio rinkėjų visose vienmandatėse rinkimų apygardose skaičiaus, sudaroma Pasaulio lietuvių vienmandatė rinkimų apygarda ir </w:t>
      </w:r>
      <w:r>
        <w:rPr>
          <w:color w:val="000000"/>
          <w:szCs w:val="24"/>
          <w:lang w:eastAsia="lt-LT"/>
        </w:rPr>
        <w:t xml:space="preserve">kitose valstybėse esantys Lietuvos Respublikos piliečiai įrašomi į </w:t>
      </w:r>
      <w:r>
        <w:rPr>
          <w:color w:val="000000"/>
          <w:szCs w:val="24"/>
          <w:shd w:val="clear" w:color="auto" w:fill="FFFFFF"/>
        </w:rPr>
        <w:t>Pasaulio lietuvių vienmandatės rinkimų apygardos</w:t>
      </w:r>
      <w:r>
        <w:rPr>
          <w:color w:val="000000"/>
          <w:szCs w:val="24"/>
          <w:lang w:eastAsia="lt-LT"/>
        </w:rPr>
        <w:t xml:space="preserve"> rinkėjų sąrašą</w:t>
      </w:r>
      <w:r>
        <w:rPr>
          <w:color w:val="000000"/>
          <w:szCs w:val="24"/>
          <w:shd w:val="clear" w:color="auto" w:fill="FFFFFF"/>
        </w:rPr>
        <w:t>.</w:t>
      </w:r>
    </w:p>
    <w:p>
      <w:pPr>
        <w:spacing w:line="360" w:lineRule="atLeast"/>
        <w:ind w:firstLine="720"/>
        <w:jc w:val="both"/>
        <w:rPr>
          <w:color w:val="000000"/>
          <w:szCs w:val="24"/>
          <w:lang w:eastAsia="lt-LT"/>
        </w:rPr>
      </w:pPr>
      <w:r>
        <w:rPr>
          <w:color w:val="000000"/>
          <w:szCs w:val="24"/>
          <w:lang w:eastAsia="lt-LT"/>
        </w:rPr>
        <w:t>3</w:t>
      </w:r>
      <w:r>
        <w:rPr>
          <w:color w:val="000000"/>
          <w:szCs w:val="24"/>
          <w:lang w:eastAsia="lt-LT"/>
        </w:rPr>
        <w:t>. Lietuvos Respublikos diplomatinė atstovybė, likus ne mažiau kaip 15 dienų iki Seimo rinkimų, perduoda Vyriausiajai rinkimų komisijai diplomatinėje atstovybėje sudarytą rinkėjų sąrašą ir duomenis apie jo patikslinimą. Šis sąrašas gali būti papildomas rinkėjais, kurie balsavimo paštu laikotarpiu ir rinkimų dieną negali sugrįžti į Lietuvą ir balsuoja diplomatinėje atstovybėje.“</w:t>
      </w:r>
    </w:p>
    <w:p>
      <w:pPr>
        <w:spacing w:line="360" w:lineRule="atLeast"/>
        <w:ind w:leftChars="1000" w:left="2400" w:firstLine="720"/>
        <w:rPr>
          <w:lang w:eastAsia="lt-LT"/>
        </w:rPr>
      </w:pPr>
    </w:p>
    <w:p>
      <w:pPr>
        <w:spacing w:line="360" w:lineRule="atLeast"/>
        <w:ind w:firstLine="720"/>
        <w:rPr>
          <w:bCs/>
          <w:szCs w:val="24"/>
        </w:rPr>
      </w:pPr>
      <w:r>
        <w:rPr>
          <w:b/>
          <w:bCs/>
          <w:szCs w:val="24"/>
        </w:rPr>
        <w:t>4</w:t>
      </w:r>
      <w:r>
        <w:rPr>
          <w:b/>
          <w:bCs/>
          <w:szCs w:val="24"/>
        </w:rPr>
        <w:t xml:space="preserve"> straipsnis. </w:t>
      </w:r>
      <w:r>
        <w:rPr>
          <w:b/>
          <w:bCs/>
          <w:szCs w:val="24"/>
        </w:rPr>
        <w:t>86 straipsnio pakeitimas</w:t>
      </w:r>
    </w:p>
    <w:p>
      <w:pPr>
        <w:spacing w:line="360" w:lineRule="atLeast"/>
        <w:ind w:firstLine="720"/>
        <w:jc w:val="both"/>
        <w:rPr>
          <w:bCs/>
          <w:szCs w:val="24"/>
        </w:rPr>
      </w:pPr>
      <w:r>
        <w:rPr>
          <w:bCs/>
          <w:szCs w:val="24"/>
        </w:rPr>
        <w:t>1</w:t>
      </w:r>
      <w:r>
        <w:rPr>
          <w:bCs/>
          <w:szCs w:val="24"/>
        </w:rPr>
        <w:t>. Pakeisti 86 straipsnio pavadinimą ir jį išdėstyti taip:</w:t>
      </w:r>
    </w:p>
    <w:p>
      <w:pPr>
        <w:spacing w:line="360" w:lineRule="atLeast"/>
        <w:ind w:left="2410" w:hanging="1690"/>
        <w:jc w:val="both"/>
        <w:rPr>
          <w:bCs/>
          <w:szCs w:val="24"/>
        </w:rPr>
      </w:pPr>
      <w:r>
        <w:rPr>
          <w:bCs/>
          <w:szCs w:val="24"/>
        </w:rPr>
        <w:t>„</w:t>
      </w:r>
      <w:r>
        <w:rPr>
          <w:b/>
          <w:bCs/>
          <w:szCs w:val="24"/>
        </w:rPr>
        <w:t>86</w:t>
      </w:r>
      <w:r>
        <w:rPr>
          <w:b/>
          <w:bCs/>
          <w:szCs w:val="24"/>
        </w:rPr>
        <w:t xml:space="preserve"> straipsnis. </w:t>
      </w:r>
      <w:r>
        <w:rPr>
          <w:b/>
          <w:bCs/>
          <w:szCs w:val="24"/>
        </w:rPr>
        <w:t>Skundai dėl rinkimų ir balsavimo komisijų sprendimų, priimtų pasibaigus balsavimui</w:t>
      </w:r>
      <w:r>
        <w:rPr>
          <w:bCs/>
          <w:szCs w:val="24"/>
        </w:rPr>
        <w:t>“.</w:t>
      </w:r>
    </w:p>
    <w:p>
      <w:pPr>
        <w:spacing w:line="360" w:lineRule="atLeast"/>
        <w:ind w:firstLine="720"/>
        <w:jc w:val="both"/>
        <w:rPr>
          <w:bCs/>
          <w:szCs w:val="24"/>
        </w:rPr>
      </w:pPr>
      <w:r>
        <w:rPr>
          <w:bCs/>
          <w:szCs w:val="24"/>
        </w:rPr>
        <w:t>2</w:t>
      </w:r>
      <w:r>
        <w:rPr>
          <w:bCs/>
          <w:szCs w:val="24"/>
        </w:rPr>
        <w:t>. Papildyti 86 straipsnį nauja 5 dalimi:</w:t>
      </w:r>
    </w:p>
    <w:p>
      <w:pPr>
        <w:spacing w:line="360" w:lineRule="atLeast"/>
        <w:ind w:firstLine="720"/>
        <w:jc w:val="both"/>
        <w:rPr>
          <w:bCs/>
          <w:szCs w:val="24"/>
        </w:rPr>
      </w:pPr>
      <w:r>
        <w:rPr>
          <w:bCs/>
          <w:szCs w:val="24"/>
        </w:rPr>
        <w:t>„</w:t>
      </w:r>
      <w:r>
        <w:rPr>
          <w:bCs/>
          <w:szCs w:val="24"/>
        </w:rPr>
        <w:t>5</w:t>
      </w:r>
      <w:r>
        <w:rPr>
          <w:bCs/>
          <w:szCs w:val="24"/>
        </w:rPr>
        <w:t>. Partijos, iškėlusios kandidatą į Seimo narius, kandidatai į Seimo narius, jų atstovai rinkimams, rinkimų stebėtojai balsavimo komisijų sprendimus dėl balsų skaičiavimo protokolų surašymo gali apskųsti Vyriausiajai rinkimų komisijai ne vėliau kaip per 24 valandas nuo jų surašymo. Šie skundai turi būti išnagrinėti ne vėliau kaip per 24 valandas.“</w:t>
      </w:r>
    </w:p>
    <w:p>
      <w:pPr>
        <w:spacing w:line="360" w:lineRule="atLeast"/>
        <w:ind w:firstLine="720"/>
        <w:jc w:val="both"/>
        <w:rPr>
          <w:szCs w:val="24"/>
          <w:lang w:eastAsia="lt-LT"/>
        </w:rPr>
      </w:pPr>
      <w:r>
        <w:rPr>
          <w:szCs w:val="24"/>
        </w:rPr>
        <w:t>3</w:t>
      </w:r>
      <w:r>
        <w:rPr>
          <w:szCs w:val="24"/>
        </w:rPr>
        <w:t>. Buvusią 5 dalį laikyti 6 dalimi.</w:t>
      </w:r>
    </w:p>
    <w:p>
      <w:pPr>
        <w:spacing w:line="360" w:lineRule="atLeast"/>
        <w:ind w:firstLine="720"/>
        <w:rPr>
          <w:b/>
          <w:bCs/>
          <w:szCs w:val="24"/>
        </w:rPr>
      </w:pPr>
    </w:p>
    <w:p>
      <w:pPr>
        <w:spacing w:line="360" w:lineRule="atLeast"/>
        <w:ind w:firstLine="720"/>
        <w:rPr>
          <w:bCs/>
          <w:szCs w:val="24"/>
        </w:rPr>
      </w:pPr>
      <w:r>
        <w:rPr>
          <w:b/>
          <w:bCs/>
          <w:szCs w:val="24"/>
        </w:rPr>
        <w:t>5</w:t>
      </w:r>
      <w:r>
        <w:rPr>
          <w:b/>
          <w:bCs/>
          <w:szCs w:val="24"/>
        </w:rPr>
        <w:t xml:space="preserve"> straipsnis. </w:t>
      </w:r>
      <w:r>
        <w:rPr>
          <w:b/>
          <w:bCs/>
          <w:szCs w:val="24"/>
        </w:rPr>
        <w:t>87 straipsnio pakeitimas</w:t>
      </w:r>
    </w:p>
    <w:p>
      <w:pPr>
        <w:spacing w:line="360" w:lineRule="atLeast"/>
        <w:ind w:firstLine="720"/>
        <w:rPr>
          <w:bCs/>
          <w:szCs w:val="24"/>
        </w:rPr>
      </w:pPr>
      <w:r>
        <w:rPr>
          <w:bCs/>
          <w:szCs w:val="24"/>
        </w:rPr>
        <w:t>Papildyti 87 straipsnį 3 dalimi:</w:t>
      </w:r>
    </w:p>
    <w:p>
      <w:pPr>
        <w:spacing w:line="360" w:lineRule="atLeast"/>
        <w:ind w:firstLine="720"/>
        <w:jc w:val="both"/>
        <w:rPr>
          <w:szCs w:val="24"/>
          <w:lang w:eastAsia="lt-LT"/>
        </w:rPr>
      </w:pPr>
      <w:r>
        <w:rPr>
          <w:szCs w:val="24"/>
        </w:rPr>
        <w:t>„</w:t>
      </w:r>
      <w:r>
        <w:rPr>
          <w:szCs w:val="24"/>
        </w:rPr>
        <w:t>3</w:t>
      </w:r>
      <w:r>
        <w:rPr>
          <w:szCs w:val="24"/>
        </w:rPr>
        <w:t>. Pasaulio lietuvių vienmandatės rinkimų apygardos balsų skaičiavimo protokolą pasirašo Vyriausioji rinkimų komisija. Vyriausioji rinkimų komisija, išnagrinėjusi balsavimo komisijų narių atskirąsias nuomones, rinkimų stebėtojų pastabas ir rinkėjų skundus, gali pripažinti rinkimus šioje apygardoje negaliojančiais.“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30829603">
      <w:bodyDiv w:val="1"/>
      <w:marLeft w:val="225"/>
      <w:marRight w:val="225"/>
      <w:marTop w:val="0"/>
      <w:marBottom w:val="0"/>
      <w:divBdr>
        <w:top w:val="none" w:sz="0" w:space="0" w:color="auto"/>
        <w:left w:val="none" w:sz="0" w:space="0" w:color="auto"/>
        <w:bottom w:val="none" w:sz="0" w:space="0" w:color="auto"/>
        <w:right w:val="none" w:sz="0" w:space="0" w:color="auto"/>
      </w:divBdr>
      <w:divsChild>
        <w:div w:id="651913821">
          <w:marLeft w:val="0"/>
          <w:marRight w:val="0"/>
          <w:marTop w:val="0"/>
          <w:marBottom w:val="0"/>
          <w:divBdr>
            <w:top w:val="none" w:sz="0" w:space="0" w:color="auto"/>
            <w:left w:val="none" w:sz="0" w:space="0" w:color="auto"/>
            <w:bottom w:val="none" w:sz="0" w:space="0" w:color="auto"/>
            <w:right w:val="none" w:sz="0" w:space="0" w:color="auto"/>
          </w:divBdr>
        </w:div>
      </w:divsChild>
    </w:div>
    <w:div w:id="178858116">
      <w:bodyDiv w:val="1"/>
      <w:marLeft w:val="225"/>
      <w:marRight w:val="225"/>
      <w:marTop w:val="0"/>
      <w:marBottom w:val="0"/>
      <w:divBdr>
        <w:top w:val="none" w:sz="0" w:space="0" w:color="auto"/>
        <w:left w:val="none" w:sz="0" w:space="0" w:color="auto"/>
        <w:bottom w:val="none" w:sz="0" w:space="0" w:color="auto"/>
        <w:right w:val="none" w:sz="0" w:space="0" w:color="auto"/>
      </w:divBdr>
      <w:divsChild>
        <w:div w:id="232592866">
          <w:marLeft w:val="0"/>
          <w:marRight w:val="0"/>
          <w:marTop w:val="0"/>
          <w:marBottom w:val="0"/>
          <w:divBdr>
            <w:top w:val="none" w:sz="0" w:space="0" w:color="auto"/>
            <w:left w:val="none" w:sz="0" w:space="0" w:color="auto"/>
            <w:bottom w:val="none" w:sz="0" w:space="0" w:color="auto"/>
            <w:right w:val="none" w:sz="0" w:space="0" w:color="auto"/>
          </w:divBdr>
        </w:div>
      </w:divsChild>
    </w:div>
    <w:div w:id="402997014">
      <w:bodyDiv w:val="1"/>
      <w:marLeft w:val="225"/>
      <w:marRight w:val="225"/>
      <w:marTop w:val="0"/>
      <w:marBottom w:val="0"/>
      <w:divBdr>
        <w:top w:val="none" w:sz="0" w:space="0" w:color="auto"/>
        <w:left w:val="none" w:sz="0" w:space="0" w:color="auto"/>
        <w:bottom w:val="none" w:sz="0" w:space="0" w:color="auto"/>
        <w:right w:val="none" w:sz="0" w:space="0" w:color="auto"/>
      </w:divBdr>
      <w:divsChild>
        <w:div w:id="214858694">
          <w:marLeft w:val="0"/>
          <w:marRight w:val="0"/>
          <w:marTop w:val="0"/>
          <w:marBottom w:val="0"/>
          <w:divBdr>
            <w:top w:val="none" w:sz="0" w:space="0" w:color="auto"/>
            <w:left w:val="none" w:sz="0" w:space="0" w:color="auto"/>
            <w:bottom w:val="none" w:sz="0" w:space="0" w:color="auto"/>
            <w:right w:val="none" w:sz="0" w:space="0" w:color="auto"/>
          </w:divBdr>
        </w:div>
      </w:divsChild>
    </w:div>
    <w:div w:id="842815180">
      <w:bodyDiv w:val="1"/>
      <w:marLeft w:val="225"/>
      <w:marRight w:val="225"/>
      <w:marTop w:val="0"/>
      <w:marBottom w:val="0"/>
      <w:divBdr>
        <w:top w:val="none" w:sz="0" w:space="0" w:color="auto"/>
        <w:left w:val="none" w:sz="0" w:space="0" w:color="auto"/>
        <w:bottom w:val="none" w:sz="0" w:space="0" w:color="auto"/>
        <w:right w:val="none" w:sz="0" w:space="0" w:color="auto"/>
      </w:divBdr>
      <w:divsChild>
        <w:div w:id="851653370">
          <w:marLeft w:val="0"/>
          <w:marRight w:val="0"/>
          <w:marTop w:val="0"/>
          <w:marBottom w:val="0"/>
          <w:divBdr>
            <w:top w:val="none" w:sz="0" w:space="0" w:color="auto"/>
            <w:left w:val="none" w:sz="0" w:space="0" w:color="auto"/>
            <w:bottom w:val="none" w:sz="0" w:space="0" w:color="auto"/>
            <w:right w:val="none" w:sz="0" w:space="0" w:color="auto"/>
          </w:divBdr>
        </w:div>
      </w:divsChild>
    </w:div>
    <w:div w:id="856700693">
      <w:bodyDiv w:val="1"/>
      <w:marLeft w:val="225"/>
      <w:marRight w:val="225"/>
      <w:marTop w:val="0"/>
      <w:marBottom w:val="0"/>
      <w:divBdr>
        <w:top w:val="none" w:sz="0" w:space="0" w:color="auto"/>
        <w:left w:val="none" w:sz="0" w:space="0" w:color="auto"/>
        <w:bottom w:val="none" w:sz="0" w:space="0" w:color="auto"/>
        <w:right w:val="none" w:sz="0" w:space="0" w:color="auto"/>
      </w:divBdr>
      <w:divsChild>
        <w:div w:id="1384671247">
          <w:marLeft w:val="0"/>
          <w:marRight w:val="0"/>
          <w:marTop w:val="0"/>
          <w:marBottom w:val="0"/>
          <w:divBdr>
            <w:top w:val="none" w:sz="0" w:space="0" w:color="auto"/>
            <w:left w:val="none" w:sz="0" w:space="0" w:color="auto"/>
            <w:bottom w:val="none" w:sz="0" w:space="0" w:color="auto"/>
            <w:right w:val="none" w:sz="0" w:space="0" w:color="auto"/>
          </w:divBdr>
        </w:div>
      </w:divsChild>
    </w:div>
    <w:div w:id="954946235">
      <w:bodyDiv w:val="1"/>
      <w:marLeft w:val="225"/>
      <w:marRight w:val="225"/>
      <w:marTop w:val="0"/>
      <w:marBottom w:val="0"/>
      <w:divBdr>
        <w:top w:val="none" w:sz="0" w:space="0" w:color="auto"/>
        <w:left w:val="none" w:sz="0" w:space="0" w:color="auto"/>
        <w:bottom w:val="none" w:sz="0" w:space="0" w:color="auto"/>
        <w:right w:val="none" w:sz="0" w:space="0" w:color="auto"/>
      </w:divBdr>
      <w:divsChild>
        <w:div w:id="907417877">
          <w:marLeft w:val="0"/>
          <w:marRight w:val="0"/>
          <w:marTop w:val="0"/>
          <w:marBottom w:val="0"/>
          <w:divBdr>
            <w:top w:val="none" w:sz="0" w:space="0" w:color="auto"/>
            <w:left w:val="none" w:sz="0" w:space="0" w:color="auto"/>
            <w:bottom w:val="none" w:sz="0" w:space="0" w:color="auto"/>
            <w:right w:val="none" w:sz="0" w:space="0" w:color="auto"/>
          </w:divBdr>
        </w:div>
      </w:divsChild>
    </w:div>
    <w:div w:id="1246721033">
      <w:bodyDiv w:val="1"/>
      <w:marLeft w:val="225"/>
      <w:marRight w:val="225"/>
      <w:marTop w:val="0"/>
      <w:marBottom w:val="0"/>
      <w:divBdr>
        <w:top w:val="none" w:sz="0" w:space="0" w:color="auto"/>
        <w:left w:val="none" w:sz="0" w:space="0" w:color="auto"/>
        <w:bottom w:val="none" w:sz="0" w:space="0" w:color="auto"/>
        <w:right w:val="none" w:sz="0" w:space="0" w:color="auto"/>
      </w:divBdr>
      <w:divsChild>
        <w:div w:id="2003198378">
          <w:marLeft w:val="0"/>
          <w:marRight w:val="0"/>
          <w:marTop w:val="0"/>
          <w:marBottom w:val="0"/>
          <w:divBdr>
            <w:top w:val="none" w:sz="0" w:space="0" w:color="auto"/>
            <w:left w:val="none" w:sz="0" w:space="0" w:color="auto"/>
            <w:bottom w:val="none" w:sz="0" w:space="0" w:color="auto"/>
            <w:right w:val="none" w:sz="0" w:space="0" w:color="auto"/>
          </w:divBdr>
        </w:div>
      </w:divsChild>
    </w:div>
    <w:div w:id="1257906120">
      <w:bodyDiv w:val="1"/>
      <w:marLeft w:val="225"/>
      <w:marRight w:val="225"/>
      <w:marTop w:val="0"/>
      <w:marBottom w:val="0"/>
      <w:divBdr>
        <w:top w:val="none" w:sz="0" w:space="0" w:color="auto"/>
        <w:left w:val="none" w:sz="0" w:space="0" w:color="auto"/>
        <w:bottom w:val="none" w:sz="0" w:space="0" w:color="auto"/>
        <w:right w:val="none" w:sz="0" w:space="0" w:color="auto"/>
      </w:divBdr>
      <w:divsChild>
        <w:div w:id="1935479558">
          <w:marLeft w:val="0"/>
          <w:marRight w:val="0"/>
          <w:marTop w:val="0"/>
          <w:marBottom w:val="0"/>
          <w:divBdr>
            <w:top w:val="none" w:sz="0" w:space="0" w:color="auto"/>
            <w:left w:val="none" w:sz="0" w:space="0" w:color="auto"/>
            <w:bottom w:val="none" w:sz="0" w:space="0" w:color="auto"/>
            <w:right w:val="none" w:sz="0" w:space="0" w:color="auto"/>
          </w:divBdr>
        </w:div>
      </w:divsChild>
    </w:div>
    <w:div w:id="1274484527">
      <w:bodyDiv w:val="1"/>
      <w:marLeft w:val="225"/>
      <w:marRight w:val="225"/>
      <w:marTop w:val="0"/>
      <w:marBottom w:val="0"/>
      <w:divBdr>
        <w:top w:val="none" w:sz="0" w:space="0" w:color="auto"/>
        <w:left w:val="none" w:sz="0" w:space="0" w:color="auto"/>
        <w:bottom w:val="none" w:sz="0" w:space="0" w:color="auto"/>
        <w:right w:val="none" w:sz="0" w:space="0" w:color="auto"/>
      </w:divBdr>
      <w:divsChild>
        <w:div w:id="1374884494">
          <w:marLeft w:val="0"/>
          <w:marRight w:val="0"/>
          <w:marTop w:val="0"/>
          <w:marBottom w:val="0"/>
          <w:divBdr>
            <w:top w:val="none" w:sz="0" w:space="0" w:color="auto"/>
            <w:left w:val="none" w:sz="0" w:space="0" w:color="auto"/>
            <w:bottom w:val="none" w:sz="0" w:space="0" w:color="auto"/>
            <w:right w:val="none" w:sz="0" w:space="0" w:color="auto"/>
          </w:divBdr>
        </w:div>
      </w:divsChild>
    </w:div>
    <w:div w:id="1354723745">
      <w:bodyDiv w:val="1"/>
      <w:marLeft w:val="225"/>
      <w:marRight w:val="225"/>
      <w:marTop w:val="0"/>
      <w:marBottom w:val="0"/>
      <w:divBdr>
        <w:top w:val="none" w:sz="0" w:space="0" w:color="auto"/>
        <w:left w:val="none" w:sz="0" w:space="0" w:color="auto"/>
        <w:bottom w:val="none" w:sz="0" w:space="0" w:color="auto"/>
        <w:right w:val="none" w:sz="0" w:space="0" w:color="auto"/>
      </w:divBdr>
      <w:divsChild>
        <w:div w:id="870874299">
          <w:marLeft w:val="0"/>
          <w:marRight w:val="0"/>
          <w:marTop w:val="0"/>
          <w:marBottom w:val="0"/>
          <w:divBdr>
            <w:top w:val="none" w:sz="0" w:space="0" w:color="auto"/>
            <w:left w:val="none" w:sz="0" w:space="0" w:color="auto"/>
            <w:bottom w:val="none" w:sz="0" w:space="0" w:color="auto"/>
            <w:right w:val="none" w:sz="0" w:space="0" w:color="auto"/>
          </w:divBdr>
        </w:div>
      </w:divsChild>
    </w:div>
    <w:div w:id="1386493187">
      <w:bodyDiv w:val="1"/>
      <w:marLeft w:val="225"/>
      <w:marRight w:val="225"/>
      <w:marTop w:val="0"/>
      <w:marBottom w:val="0"/>
      <w:divBdr>
        <w:top w:val="none" w:sz="0" w:space="0" w:color="auto"/>
        <w:left w:val="none" w:sz="0" w:space="0" w:color="auto"/>
        <w:bottom w:val="none" w:sz="0" w:space="0" w:color="auto"/>
        <w:right w:val="none" w:sz="0" w:space="0" w:color="auto"/>
      </w:divBdr>
      <w:divsChild>
        <w:div w:id="1463424194">
          <w:marLeft w:val="0"/>
          <w:marRight w:val="0"/>
          <w:marTop w:val="0"/>
          <w:marBottom w:val="0"/>
          <w:divBdr>
            <w:top w:val="none" w:sz="0" w:space="0" w:color="auto"/>
            <w:left w:val="none" w:sz="0" w:space="0" w:color="auto"/>
            <w:bottom w:val="none" w:sz="0" w:space="0" w:color="auto"/>
            <w:right w:val="none" w:sz="0" w:space="0" w:color="auto"/>
          </w:divBdr>
        </w:div>
      </w:divsChild>
    </w:div>
    <w:div w:id="1691640717">
      <w:bodyDiv w:val="1"/>
      <w:marLeft w:val="225"/>
      <w:marRight w:val="225"/>
      <w:marTop w:val="0"/>
      <w:marBottom w:val="0"/>
      <w:divBdr>
        <w:top w:val="none" w:sz="0" w:space="0" w:color="auto"/>
        <w:left w:val="none" w:sz="0" w:space="0" w:color="auto"/>
        <w:bottom w:val="none" w:sz="0" w:space="0" w:color="auto"/>
        <w:right w:val="none" w:sz="0" w:space="0" w:color="auto"/>
      </w:divBdr>
      <w:divsChild>
        <w:div w:id="717054091">
          <w:marLeft w:val="0"/>
          <w:marRight w:val="0"/>
          <w:marTop w:val="0"/>
          <w:marBottom w:val="0"/>
          <w:divBdr>
            <w:top w:val="none" w:sz="0" w:space="0" w:color="auto"/>
            <w:left w:val="none" w:sz="0" w:space="0" w:color="auto"/>
            <w:bottom w:val="none" w:sz="0" w:space="0" w:color="auto"/>
            <w:right w:val="none" w:sz="0" w:space="0" w:color="auto"/>
          </w:divBdr>
        </w:div>
      </w:divsChild>
    </w:div>
    <w:div w:id="1929263593">
      <w:bodyDiv w:val="1"/>
      <w:marLeft w:val="225"/>
      <w:marRight w:val="225"/>
      <w:marTop w:val="0"/>
      <w:marBottom w:val="0"/>
      <w:divBdr>
        <w:top w:val="none" w:sz="0" w:space="0" w:color="auto"/>
        <w:left w:val="none" w:sz="0" w:space="0" w:color="auto"/>
        <w:bottom w:val="none" w:sz="0" w:space="0" w:color="auto"/>
        <w:right w:val="none" w:sz="0" w:space="0" w:color="auto"/>
      </w:divBdr>
      <w:divsChild>
        <w:div w:id="662902558">
          <w:marLeft w:val="0"/>
          <w:marRight w:val="0"/>
          <w:marTop w:val="0"/>
          <w:marBottom w:val="0"/>
          <w:divBdr>
            <w:top w:val="none" w:sz="0" w:space="0" w:color="auto"/>
            <w:left w:val="none" w:sz="0" w:space="0" w:color="auto"/>
            <w:bottom w:val="none" w:sz="0" w:space="0" w:color="auto"/>
            <w:right w:val="none" w:sz="0" w:space="0" w:color="auto"/>
          </w:divBdr>
        </w:div>
      </w:divsChild>
    </w:div>
    <w:div w:id="2082289312">
      <w:bodyDiv w:val="1"/>
      <w:marLeft w:val="225"/>
      <w:marRight w:val="225"/>
      <w:marTop w:val="0"/>
      <w:marBottom w:val="0"/>
      <w:divBdr>
        <w:top w:val="none" w:sz="0" w:space="0" w:color="auto"/>
        <w:left w:val="none" w:sz="0" w:space="0" w:color="auto"/>
        <w:bottom w:val="none" w:sz="0" w:space="0" w:color="auto"/>
        <w:right w:val="none" w:sz="0" w:space="0" w:color="auto"/>
      </w:divBdr>
      <w:divsChild>
        <w:div w:id="185036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3518</Characters>
  <Application>Microsoft Office Word</Application>
  <DocSecurity>4</DocSecurity>
  <Lines>76</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4001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2019-08-30T05:24:00Z</dcterms:created>
  <dc:creator>„Windows“ vartotojas</dc:creator>
  <lastModifiedBy>adlibuser</lastModifiedBy>
  <lastPrinted>2019-08-20T12:53:00Z</lastPrinted>
  <dcterms:modified xsi:type="dcterms:W3CDTF">2019-08-30T05:24:00Z</dcterms:modified>
  <revision>2</revision>
</coreProperties>
</file>