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9621" w14:textId="77777777" w:rsidR="009B4AB1" w:rsidRDefault="009B4AB1">
      <w:pPr>
        <w:tabs>
          <w:tab w:val="center" w:pos="4819"/>
          <w:tab w:val="right" w:pos="9638"/>
        </w:tabs>
      </w:pPr>
    </w:p>
    <w:p w14:paraId="70FA6CF4" w14:textId="77777777" w:rsidR="009B4AB1" w:rsidRDefault="00673A35">
      <w:pPr>
        <w:tabs>
          <w:tab w:val="center" w:pos="4819"/>
          <w:tab w:val="right" w:pos="9638"/>
        </w:tabs>
        <w:jc w:val="center"/>
        <w:rPr>
          <w:b/>
          <w:bCs/>
        </w:rPr>
      </w:pPr>
      <w:r>
        <w:rPr>
          <w:b/>
          <w:bCs/>
        </w:rPr>
        <w:t>LIETUVOS STATISTIKOS DEPARTAMENTO GENERALINIS DIREKTORIUS</w:t>
      </w:r>
    </w:p>
    <w:p w14:paraId="5232C0C5" w14:textId="77777777" w:rsidR="009B4AB1" w:rsidRDefault="009B4AB1">
      <w:pPr>
        <w:jc w:val="center"/>
        <w:rPr>
          <w:b/>
          <w:bCs/>
        </w:rPr>
      </w:pPr>
    </w:p>
    <w:p w14:paraId="001A251B" w14:textId="77777777" w:rsidR="009B4AB1" w:rsidRDefault="00673A35">
      <w:pPr>
        <w:jc w:val="center"/>
        <w:rPr>
          <w:b/>
          <w:bCs/>
        </w:rPr>
      </w:pPr>
      <w:r>
        <w:rPr>
          <w:b/>
          <w:bCs/>
        </w:rPr>
        <w:t>MUITINĖS DEPARTAMENTO PRIE LIETUVOS RESPUBLIKOS FINANSŲ MINISTERIJOS GENERALINIS DIREKTORIUS</w:t>
      </w:r>
    </w:p>
    <w:p w14:paraId="060E20A1" w14:textId="77777777" w:rsidR="009B4AB1" w:rsidRDefault="009B4AB1">
      <w:pPr>
        <w:jc w:val="center"/>
        <w:rPr>
          <w:b/>
          <w:bCs/>
        </w:rPr>
      </w:pPr>
    </w:p>
    <w:p w14:paraId="67066D38" w14:textId="77777777" w:rsidR="009B4AB1" w:rsidRDefault="00673A35">
      <w:pPr>
        <w:jc w:val="center"/>
        <w:rPr>
          <w:b/>
          <w:bCs/>
        </w:rPr>
      </w:pPr>
      <w:r>
        <w:rPr>
          <w:b/>
          <w:bCs/>
        </w:rPr>
        <w:t>ĮSAKYMAS</w:t>
      </w:r>
    </w:p>
    <w:p w14:paraId="7C98F669" w14:textId="4451682B" w:rsidR="009B4AB1" w:rsidRDefault="00673A35">
      <w:pPr>
        <w:jc w:val="center"/>
        <w:rPr>
          <w:b/>
          <w:bCs/>
        </w:rPr>
      </w:pPr>
      <w:r>
        <w:rPr>
          <w:b/>
          <w:bCs/>
        </w:rPr>
        <w:t>DĖL LIETUVOS STATISTIKOS DEPARTAMENTO GENERALINIO DIREKTORIAUS IR MUITINĖS DEPARTAMENTO PRIE LIETUVOS RESPUBLIKOS FINANSŲ MINISTERIJOS GENERALINIO DIREKTORIAUS 2019 M. LAPKRIČIO 21 D. ĮSAKYMO NR. DĮ-247/1B-1078 „DĖL INTRASTATO STATISTINIŲ ATASKAITŲ STATISTINIŲ FORMULIARŲ PILDYMO, PATEIKIMO IR PRIĖMIMO TAISYKLIŲ, INTRASTATO STATISTINĖS ATASKAITOS IŠVEŽIMAS UPS-01 (MĖNESINĖS) IR INTRASTATO STATISTINĖS ATASKAITOS ĮVEŽIMAS UPS-02 (MĖNESINĖS) STATISTINIŲ FORMULIARŲ PATVIRTINIMO“ PAKEITIMO</w:t>
      </w:r>
    </w:p>
    <w:p w14:paraId="133217E1" w14:textId="77777777" w:rsidR="009B4AB1" w:rsidRDefault="009B4AB1">
      <w:pPr>
        <w:jc w:val="center"/>
      </w:pPr>
    </w:p>
    <w:p w14:paraId="03CABE6D" w14:textId="28068E59" w:rsidR="009B4AB1" w:rsidRDefault="00673A35">
      <w:pPr>
        <w:jc w:val="center"/>
      </w:pPr>
      <w:r>
        <w:t>2020 m. lapkričio 12 d. Nr. DĮ-282/1B-903</w:t>
      </w:r>
    </w:p>
    <w:p w14:paraId="13F80B1B" w14:textId="77777777" w:rsidR="009B4AB1" w:rsidRDefault="00673A35">
      <w:pPr>
        <w:jc w:val="center"/>
      </w:pPr>
      <w:r>
        <w:t>Vilnius</w:t>
      </w:r>
    </w:p>
    <w:p w14:paraId="2DCEC46E" w14:textId="77777777" w:rsidR="009B4AB1" w:rsidRDefault="009B4AB1">
      <w:pPr>
        <w:jc w:val="center"/>
      </w:pPr>
    </w:p>
    <w:p w14:paraId="48ACD0DE" w14:textId="77777777" w:rsidR="006F1425" w:rsidRDefault="006F1425">
      <w:pPr>
        <w:jc w:val="center"/>
      </w:pPr>
    </w:p>
    <w:p w14:paraId="4CD9A18D" w14:textId="2CE2E9C0" w:rsidR="009B4AB1" w:rsidRDefault="00673A35">
      <w:pPr>
        <w:keepLines/>
        <w:tabs>
          <w:tab w:val="left" w:pos="567"/>
          <w:tab w:val="left" w:pos="1304"/>
          <w:tab w:val="left" w:pos="1457"/>
          <w:tab w:val="left" w:pos="1604"/>
          <w:tab w:val="left" w:pos="1757"/>
        </w:tabs>
        <w:suppressAutoHyphens/>
        <w:ind w:firstLine="709"/>
        <w:jc w:val="both"/>
        <w:rPr>
          <w:color w:val="000000"/>
          <w:szCs w:val="24"/>
        </w:rPr>
      </w:pPr>
      <w:r>
        <w:rPr>
          <w:spacing w:val="60"/>
          <w:szCs w:val="24"/>
        </w:rPr>
        <w:t>Pakeičiame</w:t>
      </w:r>
      <w:r>
        <w:rPr>
          <w:szCs w:val="24"/>
        </w:rPr>
        <w:t xml:space="preserve"> </w:t>
      </w:r>
      <w:proofErr w:type="spellStart"/>
      <w:r>
        <w:rPr>
          <w:color w:val="000000"/>
          <w:szCs w:val="24"/>
        </w:rPr>
        <w:t>Intrastato</w:t>
      </w:r>
      <w:proofErr w:type="spellEnd"/>
      <w:r>
        <w:rPr>
          <w:color w:val="000000"/>
          <w:szCs w:val="24"/>
        </w:rPr>
        <w:t xml:space="preserve"> statistinių ataskaitų statistinių formuliarų pildymo, pateikimo ir priėmimo taisykles, patvirtintas Lietuvos statistikos departamento generalinio direktoriaus ir Muitinės departamento prie Lietuvos Respublikos finansų ministerijos generalinio direktoriaus 2019 m. lapkričio 21 d. įsakymu Nr. DĮ-247/1B-1078 „Dėl </w:t>
      </w:r>
      <w:proofErr w:type="spellStart"/>
      <w:r>
        <w:rPr>
          <w:color w:val="000000"/>
          <w:szCs w:val="24"/>
        </w:rPr>
        <w:t>Intrastato</w:t>
      </w:r>
      <w:proofErr w:type="spellEnd"/>
      <w:r>
        <w:rPr>
          <w:color w:val="000000"/>
          <w:szCs w:val="24"/>
        </w:rPr>
        <w:t xml:space="preserve"> statistinių ataskaitų statistinių formuliarų pildymo, pateikimo ir priėmimo taisyklių, </w:t>
      </w:r>
      <w:proofErr w:type="spellStart"/>
      <w:r>
        <w:rPr>
          <w:color w:val="000000"/>
          <w:szCs w:val="24"/>
        </w:rPr>
        <w:t>Intrastato</w:t>
      </w:r>
      <w:proofErr w:type="spellEnd"/>
      <w:r>
        <w:rPr>
          <w:color w:val="000000"/>
          <w:szCs w:val="24"/>
        </w:rPr>
        <w:t xml:space="preserve"> statistinės ataskaitos Išvežimas     UPS-01 (mėnesinės) ir </w:t>
      </w:r>
      <w:proofErr w:type="spellStart"/>
      <w:r>
        <w:rPr>
          <w:color w:val="000000"/>
          <w:szCs w:val="24"/>
        </w:rPr>
        <w:t>Intrastato</w:t>
      </w:r>
      <w:proofErr w:type="spellEnd"/>
      <w:r>
        <w:rPr>
          <w:color w:val="000000"/>
          <w:szCs w:val="24"/>
        </w:rPr>
        <w:t xml:space="preserve"> statistinės ataskaitos Įvežimas UPS-02 (mėnesinės) statistinių formuliarų patvirtinimo“:</w:t>
      </w:r>
    </w:p>
    <w:p w14:paraId="289CCA75" w14:textId="52F0E086" w:rsidR="009B4AB1" w:rsidRDefault="006F1425">
      <w:pPr>
        <w:ind w:firstLine="709"/>
        <w:jc w:val="both"/>
        <w:rPr>
          <w:szCs w:val="24"/>
        </w:rPr>
      </w:pPr>
      <w:r w:rsidR="00673A35">
        <w:rPr>
          <w:szCs w:val="24"/>
        </w:rPr>
        <w:t>1</w:t>
      </w:r>
      <w:r w:rsidR="00673A35">
        <w:rPr>
          <w:szCs w:val="24"/>
        </w:rPr>
        <w:t>.</w:t>
      </w:r>
      <w:r w:rsidR="00673A35">
        <w:rPr>
          <w:szCs w:val="24"/>
        </w:rPr>
        <w:tab/>
        <w:t>Pakeičiame 2.1 papunktį ir jį išdėstome taip:</w:t>
      </w:r>
    </w:p>
    <w:p w14:paraId="5C575212" w14:textId="175C0E68" w:rsidR="009B4AB1" w:rsidRDefault="00673A35">
      <w:pPr>
        <w:ind w:firstLine="709"/>
        <w:jc w:val="both"/>
        <w:rPr>
          <w:szCs w:val="24"/>
        </w:rPr>
      </w:pPr>
      <w:r>
        <w:rPr>
          <w:szCs w:val="24"/>
        </w:rPr>
        <w:t>„</w:t>
      </w:r>
      <w:r>
        <w:rPr>
          <w:szCs w:val="24"/>
        </w:rPr>
        <w:t>2.1</w:t>
      </w:r>
      <w:r>
        <w:rPr>
          <w:szCs w:val="24"/>
        </w:rPr>
        <w:t>. 2004 m. kovo 31 d. Europos Parlamento ir Tarybos reglamentu (EB) Nr. 638/2004 dėl prekybos prekėmis tarp valstybių narių Bendrijos statistinių duomenų, panaikinančiu Tarybos reglamentą (EEB) Nr. 3330/91 su visais pakeitimais (toliau – Reglamentas Nr. 638/2004);“.</w:t>
      </w:r>
    </w:p>
    <w:p w14:paraId="640EE753" w14:textId="38505AAD" w:rsidR="009B4AB1" w:rsidRDefault="006F1425">
      <w:pPr>
        <w:ind w:firstLine="709"/>
        <w:jc w:val="both"/>
        <w:rPr>
          <w:szCs w:val="24"/>
        </w:rPr>
      </w:pPr>
      <w:r w:rsidR="00673A35">
        <w:rPr>
          <w:szCs w:val="24"/>
        </w:rPr>
        <w:t>2</w:t>
      </w:r>
      <w:r w:rsidR="00673A35">
        <w:rPr>
          <w:szCs w:val="24"/>
        </w:rPr>
        <w:t>.</w:t>
      </w:r>
      <w:r w:rsidR="00673A35">
        <w:rPr>
          <w:szCs w:val="24"/>
        </w:rPr>
        <w:tab/>
        <w:t>Pakeičiame 2.2 papunktį ir jį išdėstome taip:</w:t>
      </w:r>
    </w:p>
    <w:p w14:paraId="583248D1" w14:textId="41A16E18" w:rsidR="009B4AB1" w:rsidRDefault="00673A35">
      <w:pPr>
        <w:ind w:firstLine="709"/>
        <w:jc w:val="both"/>
        <w:rPr>
          <w:szCs w:val="24"/>
        </w:rPr>
      </w:pPr>
      <w:r>
        <w:rPr>
          <w:szCs w:val="24"/>
        </w:rPr>
        <w:t>„</w:t>
      </w:r>
      <w:r>
        <w:rPr>
          <w:szCs w:val="24"/>
        </w:rPr>
        <w:t>2.2</w:t>
      </w:r>
      <w:r>
        <w:rPr>
          <w:szCs w:val="24"/>
        </w:rPr>
        <w:t>. 2004 m. lapkričio 18 d. Komisijos reglamentu (EB) Nr. 1982/2004, įgyvendinančiu Europos Parlamento ir Tarybos reglamentą (EB) Nr. 638/2004 dėl prekybos prekėmis tarp valstybių narių Bendrijos statistinių duomenų, panaikinančiu Komisijos reglamentus (EB) Nr. 1901/2000 ir (EEB) Nr. 3590/92 su visais pakeitimais (toliau – Reglamentas Nr. 1982/2004);“.</w:t>
      </w:r>
    </w:p>
    <w:p w14:paraId="6E4A0E59" w14:textId="6A2A0D67" w:rsidR="009B4AB1" w:rsidRDefault="006F1425">
      <w:pPr>
        <w:ind w:firstLine="709"/>
        <w:jc w:val="both"/>
        <w:rPr>
          <w:szCs w:val="24"/>
        </w:rPr>
      </w:pPr>
      <w:r w:rsidR="00673A35">
        <w:rPr>
          <w:szCs w:val="24"/>
        </w:rPr>
        <w:t>3</w:t>
      </w:r>
      <w:r w:rsidR="00673A35">
        <w:rPr>
          <w:szCs w:val="24"/>
        </w:rPr>
        <w:t>.</w:t>
      </w:r>
      <w:r w:rsidR="00673A35">
        <w:rPr>
          <w:szCs w:val="24"/>
        </w:rPr>
        <w:tab/>
        <w:t>Pripažįstame netekusiu galios 12.2 papunktį.</w:t>
      </w:r>
    </w:p>
    <w:p w14:paraId="45E13CEC" w14:textId="7E50B151" w:rsidR="009B4AB1" w:rsidRDefault="006F1425">
      <w:pPr>
        <w:ind w:firstLine="709"/>
        <w:jc w:val="both"/>
        <w:rPr>
          <w:szCs w:val="24"/>
        </w:rPr>
      </w:pPr>
      <w:r w:rsidR="00673A35">
        <w:rPr>
          <w:szCs w:val="24"/>
        </w:rPr>
        <w:t>4</w:t>
      </w:r>
      <w:r w:rsidR="00673A35">
        <w:rPr>
          <w:szCs w:val="24"/>
        </w:rPr>
        <w:t>.</w:t>
      </w:r>
      <w:r w:rsidR="00673A35">
        <w:rPr>
          <w:szCs w:val="24"/>
        </w:rPr>
        <w:tab/>
        <w:t>Pripažįstame netekusiu galios 13 punktą.</w:t>
      </w:r>
    </w:p>
    <w:p w14:paraId="3EC72664" w14:textId="79491226" w:rsidR="009B4AB1" w:rsidRDefault="006F1425">
      <w:pPr>
        <w:ind w:firstLine="709"/>
        <w:jc w:val="both"/>
        <w:rPr>
          <w:szCs w:val="24"/>
        </w:rPr>
      </w:pPr>
      <w:r w:rsidR="00673A35">
        <w:rPr>
          <w:szCs w:val="24"/>
        </w:rPr>
        <w:t>5</w:t>
      </w:r>
      <w:r w:rsidR="00673A35">
        <w:rPr>
          <w:szCs w:val="24"/>
        </w:rPr>
        <w:t>.</w:t>
      </w:r>
      <w:r w:rsidR="00673A35">
        <w:rPr>
          <w:szCs w:val="24"/>
        </w:rPr>
        <w:tab/>
        <w:t>Pakeičiame 17 punktą ir jį išdėstome taip:</w:t>
      </w:r>
    </w:p>
    <w:p w14:paraId="566078EE" w14:textId="278FF80C" w:rsidR="009B4AB1" w:rsidRDefault="00673A35">
      <w:pPr>
        <w:ind w:firstLine="709"/>
        <w:jc w:val="both"/>
        <w:rPr>
          <w:rFonts w:eastAsia="Calibri"/>
          <w:szCs w:val="24"/>
          <w:lang w:eastAsia="lt-LT"/>
        </w:rPr>
      </w:pPr>
      <w:r>
        <w:rPr>
          <w:szCs w:val="24"/>
        </w:rPr>
        <w:t>„</w:t>
      </w:r>
      <w:r>
        <w:rPr>
          <w:szCs w:val="24"/>
        </w:rPr>
        <w:t>17</w:t>
      </w:r>
      <w:r>
        <w:rPr>
          <w:szCs w:val="24"/>
        </w:rPr>
        <w:t xml:space="preserve">. </w:t>
      </w:r>
      <w:r>
        <w:rPr>
          <w:rFonts w:eastAsia="Calibri"/>
          <w:szCs w:val="24"/>
          <w:lang w:eastAsia="lt-LT"/>
        </w:rPr>
        <w:t xml:space="preserve">Elektroniniu būdu (internetu) pateikiamų INSTAT/XML dokumento byla duomenų struktūra turi atitikti duomenų struktūros aprašymą, skelbiamą adresu </w:t>
      </w:r>
      <w:r>
        <w:rPr>
          <w:rFonts w:eastAsia="Calibri"/>
          <w:szCs w:val="24"/>
          <w:u w:val="single"/>
          <w:lang w:eastAsia="lt-LT"/>
        </w:rPr>
        <w:t>https://intrastat.lrmuitine.lt</w:t>
      </w:r>
      <w:r>
        <w:rPr>
          <w:rFonts w:eastAsia="Calibri"/>
          <w:szCs w:val="24"/>
          <w:lang w:eastAsia="lt-LT"/>
        </w:rPr>
        <w:t>.“</w:t>
      </w:r>
    </w:p>
    <w:p w14:paraId="404EE586" w14:textId="1161A6C6" w:rsidR="009B4AB1" w:rsidRDefault="006F1425">
      <w:pPr>
        <w:ind w:firstLine="709"/>
        <w:jc w:val="both"/>
        <w:rPr>
          <w:szCs w:val="24"/>
        </w:rPr>
      </w:pPr>
      <w:r w:rsidR="00673A35">
        <w:rPr>
          <w:szCs w:val="24"/>
        </w:rPr>
        <w:t>6</w:t>
      </w:r>
      <w:r w:rsidR="00673A35">
        <w:rPr>
          <w:szCs w:val="24"/>
        </w:rPr>
        <w:t>.</w:t>
      </w:r>
      <w:r w:rsidR="00673A35">
        <w:rPr>
          <w:szCs w:val="24"/>
        </w:rPr>
        <w:tab/>
        <w:t>Pripažįstame netekusiu galios 21 punktą.</w:t>
      </w:r>
    </w:p>
    <w:p w14:paraId="7BFB4BFB" w14:textId="1F80E8F3" w:rsidR="009B4AB1" w:rsidRDefault="006F1425">
      <w:pPr>
        <w:ind w:firstLine="709"/>
        <w:jc w:val="both"/>
        <w:rPr>
          <w:szCs w:val="24"/>
        </w:rPr>
      </w:pPr>
      <w:r w:rsidR="00673A35">
        <w:rPr>
          <w:szCs w:val="24"/>
        </w:rPr>
        <w:t>7</w:t>
      </w:r>
      <w:r w:rsidR="00673A35">
        <w:rPr>
          <w:szCs w:val="24"/>
        </w:rPr>
        <w:t>.</w:t>
      </w:r>
      <w:r w:rsidR="00673A35">
        <w:rPr>
          <w:szCs w:val="24"/>
        </w:rPr>
        <w:tab/>
        <w:t>Pripažįstame netekusiu galios 23 punktą.</w:t>
      </w:r>
    </w:p>
    <w:p w14:paraId="6EB7572B" w14:textId="707380B1" w:rsidR="009B4AB1" w:rsidRDefault="006F1425">
      <w:pPr>
        <w:ind w:firstLine="709"/>
        <w:jc w:val="both"/>
        <w:rPr>
          <w:szCs w:val="24"/>
        </w:rPr>
      </w:pPr>
      <w:r w:rsidR="00673A35">
        <w:rPr>
          <w:szCs w:val="24"/>
        </w:rPr>
        <w:t>8</w:t>
      </w:r>
      <w:r w:rsidR="00673A35">
        <w:rPr>
          <w:szCs w:val="24"/>
        </w:rPr>
        <w:t>.</w:t>
      </w:r>
      <w:r w:rsidR="00673A35">
        <w:rPr>
          <w:szCs w:val="24"/>
        </w:rPr>
        <w:tab/>
        <w:t>Pakeičiame 26.6 papunktį ir jį išdėstome taip:</w:t>
      </w:r>
    </w:p>
    <w:p w14:paraId="4C7A95F1" w14:textId="201DC2F4" w:rsidR="009B4AB1" w:rsidRDefault="00673A35">
      <w:pPr>
        <w:ind w:firstLine="709"/>
        <w:jc w:val="both"/>
        <w:rPr>
          <w:szCs w:val="24"/>
        </w:rPr>
      </w:pPr>
      <w:r>
        <w:rPr>
          <w:szCs w:val="24"/>
        </w:rPr>
        <w:t>„</w:t>
      </w:r>
      <w:r>
        <w:rPr>
          <w:szCs w:val="24"/>
        </w:rPr>
        <w:t>26.6</w:t>
      </w:r>
      <w:r>
        <w:rPr>
          <w:szCs w:val="24"/>
        </w:rPr>
        <w:t>. Skiltyje „Duomenys apie ataskaitą pateikusį PVM mokėtoją“ įrašoma Lietuvos Respublikoje registruoto asmens, išvežusio (Išvežimo ataskaita) arba įvežusio (Įvežimo ataskaita) prekes:</w:t>
      </w:r>
    </w:p>
    <w:p w14:paraId="15D71851" w14:textId="77777777" w:rsidR="009B4AB1" w:rsidRDefault="006F1425">
      <w:pPr>
        <w:ind w:firstLine="709"/>
        <w:rPr>
          <w:szCs w:val="24"/>
        </w:rPr>
      </w:pPr>
      <w:r w:rsidR="00673A35">
        <w:rPr>
          <w:szCs w:val="24"/>
        </w:rPr>
        <w:t>26.6.1</w:t>
      </w:r>
      <w:r w:rsidR="00673A35">
        <w:rPr>
          <w:szCs w:val="24"/>
        </w:rPr>
        <w:t>. asmenį identifikuojančio PVM mokėtojo kodo skaitmeninė dalis;</w:t>
      </w:r>
    </w:p>
    <w:p w14:paraId="77CCA620" w14:textId="77777777" w:rsidR="009B4AB1" w:rsidRDefault="006F1425">
      <w:pPr>
        <w:ind w:firstLine="709"/>
        <w:rPr>
          <w:szCs w:val="24"/>
          <w:lang w:val="en-US"/>
        </w:rPr>
      </w:pPr>
      <w:r w:rsidR="00673A35">
        <w:rPr>
          <w:szCs w:val="24"/>
        </w:rPr>
        <w:t>26.6.2</w:t>
      </w:r>
      <w:r w:rsidR="00673A35">
        <w:rPr>
          <w:szCs w:val="24"/>
        </w:rPr>
        <w:t>. tikslus buveinės adresas, nurodant pašto indeksą;</w:t>
      </w:r>
    </w:p>
    <w:p w14:paraId="010E1D81" w14:textId="77777777" w:rsidR="009B4AB1" w:rsidRDefault="006F1425">
      <w:pPr>
        <w:ind w:firstLine="709"/>
        <w:rPr>
          <w:szCs w:val="24"/>
          <w:lang w:val="en-US"/>
        </w:rPr>
      </w:pPr>
      <w:r w:rsidR="00673A35">
        <w:rPr>
          <w:szCs w:val="24"/>
        </w:rPr>
        <w:t>26.6.3</w:t>
      </w:r>
      <w:r w:rsidR="00673A35">
        <w:rPr>
          <w:szCs w:val="24"/>
        </w:rPr>
        <w:t>. telefono numeris;</w:t>
      </w:r>
    </w:p>
    <w:p w14:paraId="158E855A" w14:textId="27B406F6" w:rsidR="009B4AB1" w:rsidRDefault="006F1425">
      <w:pPr>
        <w:ind w:firstLine="709"/>
        <w:rPr>
          <w:szCs w:val="24"/>
          <w:lang w:val="en-US"/>
        </w:rPr>
      </w:pPr>
      <w:r w:rsidR="00673A35">
        <w:rPr>
          <w:szCs w:val="24"/>
        </w:rPr>
        <w:t>26.6.4</w:t>
      </w:r>
      <w:r w:rsidR="00673A35">
        <w:rPr>
          <w:szCs w:val="24"/>
        </w:rPr>
        <w:t>. elektroninio pašto adresas;</w:t>
      </w:r>
    </w:p>
    <w:p w14:paraId="179E9CF9" w14:textId="62CC456D" w:rsidR="009B4AB1" w:rsidRDefault="006F1425">
      <w:pPr>
        <w:ind w:firstLine="709"/>
        <w:rPr>
          <w:szCs w:val="24"/>
          <w:lang w:val="en-US"/>
        </w:rPr>
      </w:pPr>
      <w:r w:rsidR="00673A35">
        <w:rPr>
          <w:szCs w:val="24"/>
        </w:rPr>
        <w:t>26.6.5</w:t>
      </w:r>
      <w:r w:rsidR="00673A35">
        <w:rPr>
          <w:szCs w:val="24"/>
        </w:rPr>
        <w:t>. fakso numeris.“</w:t>
      </w:r>
    </w:p>
    <w:p w14:paraId="6E63B571" w14:textId="5A826014" w:rsidR="009B4AB1" w:rsidRDefault="006F1425">
      <w:pPr>
        <w:ind w:firstLine="709"/>
        <w:jc w:val="both"/>
        <w:rPr>
          <w:szCs w:val="24"/>
        </w:rPr>
      </w:pPr>
      <w:r w:rsidR="00673A35">
        <w:rPr>
          <w:szCs w:val="24"/>
        </w:rPr>
        <w:t>9</w:t>
      </w:r>
      <w:r w:rsidR="00673A35">
        <w:rPr>
          <w:szCs w:val="24"/>
        </w:rPr>
        <w:t>.</w:t>
      </w:r>
      <w:r w:rsidR="00673A35">
        <w:rPr>
          <w:szCs w:val="24"/>
        </w:rPr>
        <w:tab/>
        <w:t>Pakeičiame 26.12 papunktį ir jį išdėstome taip:</w:t>
      </w:r>
    </w:p>
    <w:p w14:paraId="0234A8FD" w14:textId="3D167F8F" w:rsidR="009B4AB1" w:rsidRDefault="00673A35">
      <w:pPr>
        <w:ind w:firstLine="709"/>
        <w:jc w:val="both"/>
        <w:rPr>
          <w:szCs w:val="24"/>
        </w:rPr>
      </w:pPr>
      <w:r>
        <w:rPr>
          <w:szCs w:val="24"/>
        </w:rPr>
        <w:t>„</w:t>
      </w:r>
      <w:r>
        <w:rPr>
          <w:szCs w:val="24"/>
        </w:rPr>
        <w:t>26.12</w:t>
      </w:r>
      <w:r>
        <w:rPr>
          <w:szCs w:val="24"/>
        </w:rPr>
        <w:t xml:space="preserve">. 2 langelyje „Prekės kodas“ įrašomas </w:t>
      </w:r>
      <w:proofErr w:type="spellStart"/>
      <w:r>
        <w:rPr>
          <w:szCs w:val="24"/>
        </w:rPr>
        <w:t>aštuonženklis</w:t>
      </w:r>
      <w:proofErr w:type="spellEnd"/>
      <w:r>
        <w:rPr>
          <w:szCs w:val="24"/>
        </w:rPr>
        <w:t xml:space="preserve"> prekės kodas pagal galiojančią Kombinuotosios nomenklatūros, nurodytos 1987 m. liepos 23 d. Tarybos reglamento (EEB) Nr. 2658/87 dėl tarifų ir statistinės nomenklatūros bei dėl Bendrojo muitų tarifo 1 priede, redakciją. Kombinuotoji nomenklatūra skelbiama Oficialiosios statistikos portale </w:t>
      </w:r>
      <w:proofErr w:type="spellStart"/>
      <w:r>
        <w:rPr>
          <w:szCs w:val="24"/>
        </w:rPr>
        <w:t>osp.stat.gov.lt</w:t>
      </w:r>
      <w:proofErr w:type="spellEnd"/>
      <w:r>
        <w:rPr>
          <w:szCs w:val="24"/>
        </w:rPr>
        <w:t xml:space="preserve"> ir Muitinės departamento svetainėje </w:t>
      </w:r>
      <w:proofErr w:type="spellStart"/>
      <w:r>
        <w:rPr>
          <w:szCs w:val="24"/>
        </w:rPr>
        <w:t>www.lrmuitine.lt</w:t>
      </w:r>
      <w:proofErr w:type="spellEnd"/>
      <w:r>
        <w:rPr>
          <w:szCs w:val="24"/>
        </w:rPr>
        <w:t>.“</w:t>
      </w:r>
    </w:p>
    <w:p w14:paraId="22E52481" w14:textId="6E8833E9" w:rsidR="009B4AB1" w:rsidRDefault="006F1425">
      <w:pPr>
        <w:ind w:firstLine="709"/>
        <w:jc w:val="both"/>
        <w:rPr>
          <w:szCs w:val="24"/>
        </w:rPr>
      </w:pPr>
      <w:r w:rsidR="00673A35">
        <w:rPr>
          <w:szCs w:val="24"/>
        </w:rPr>
        <w:t>10</w:t>
      </w:r>
      <w:r w:rsidR="00673A35">
        <w:rPr>
          <w:szCs w:val="24"/>
        </w:rPr>
        <w:t>.</w:t>
      </w:r>
      <w:r w:rsidR="00673A35">
        <w:rPr>
          <w:szCs w:val="24"/>
        </w:rPr>
        <w:tab/>
        <w:t>Pakeičiame 26.18 papunktį ir jį išdėstome taip:</w:t>
      </w:r>
    </w:p>
    <w:p w14:paraId="298BAC2D" w14:textId="62A96121" w:rsidR="009B4AB1" w:rsidRDefault="00673A35">
      <w:pPr>
        <w:ind w:firstLine="709"/>
        <w:jc w:val="both"/>
        <w:rPr>
          <w:szCs w:val="24"/>
        </w:rPr>
      </w:pPr>
      <w:r>
        <w:rPr>
          <w:szCs w:val="24"/>
        </w:rPr>
        <w:t>„</w:t>
      </w:r>
      <w:r>
        <w:rPr>
          <w:szCs w:val="24"/>
        </w:rPr>
        <w:t>26.18</w:t>
      </w:r>
      <w:r>
        <w:rPr>
          <w:szCs w:val="24"/>
        </w:rPr>
        <w:t>. Išvežimo ataskaitos 8 langelyje „Šalis gavėja“ įrašomas paskutinės žinomos paskirties šalies, į kurią prekė išgabenta iš Lietuvos Respublikos teritorijos, dviejų raidžių kodas, vadovaujantis 2012 m. lapkričio 27 d. Komisijos reglamentu (ES) Nr. 1106/2012, kuriuo dėl šalių ir teritorijų nomenklatūros atnaujinimo įgyvendinamas Europos Parlamento ir Tarybos reglamentas (EB) Nr. 471/2009 dėl Bendrijos statistikos, susijusios su išorės prekyba su ES nepriklausančiomis šalimis (toliau − Šalių ir teritorijų nomenklatūra).“</w:t>
      </w:r>
    </w:p>
    <w:p w14:paraId="0FBA0723" w14:textId="07194147" w:rsidR="009B4AB1" w:rsidRDefault="006F1425">
      <w:pPr>
        <w:ind w:firstLine="709"/>
        <w:jc w:val="both"/>
        <w:rPr>
          <w:szCs w:val="24"/>
        </w:rPr>
      </w:pPr>
      <w:r w:rsidR="00673A35">
        <w:rPr>
          <w:szCs w:val="24"/>
        </w:rPr>
        <w:t>11</w:t>
      </w:r>
      <w:r w:rsidR="00673A35">
        <w:rPr>
          <w:szCs w:val="24"/>
        </w:rPr>
        <w:t>.</w:t>
      </w:r>
      <w:r w:rsidR="00673A35">
        <w:rPr>
          <w:szCs w:val="24"/>
        </w:rPr>
        <w:tab/>
        <w:t>Pakeičiame 27 punkto pirmąją pastraipą ir ją išdėstome taip:</w:t>
      </w:r>
    </w:p>
    <w:p w14:paraId="6EB08954" w14:textId="4D512AF2" w:rsidR="009B4AB1" w:rsidRDefault="00673A35">
      <w:pPr>
        <w:ind w:firstLine="709"/>
        <w:jc w:val="both"/>
        <w:rPr>
          <w:szCs w:val="24"/>
        </w:rPr>
      </w:pPr>
      <w:r>
        <w:rPr>
          <w:szCs w:val="24"/>
        </w:rPr>
        <w:t>„</w:t>
      </w:r>
      <w:r>
        <w:rPr>
          <w:szCs w:val="24"/>
        </w:rPr>
        <w:t>27</w:t>
      </w:r>
      <w:r>
        <w:rPr>
          <w:szCs w:val="24"/>
        </w:rPr>
        <w:t>. Ataskaitos papildomų lapų langeliai pildomi šių taisyklių 24–26 punktų nustatyta tvarka, išskyrus:“.</w:t>
      </w:r>
    </w:p>
    <w:p w14:paraId="0C5C2A3D" w14:textId="3E3EA898" w:rsidR="009B4AB1" w:rsidRDefault="006F1425" w:rsidP="00673A35">
      <w:pPr>
        <w:ind w:firstLine="709"/>
        <w:jc w:val="both"/>
      </w:pPr>
      <w:r w:rsidR="00673A35">
        <w:rPr>
          <w:szCs w:val="24"/>
        </w:rPr>
        <w:t>12</w:t>
      </w:r>
      <w:r w:rsidR="00673A35">
        <w:rPr>
          <w:szCs w:val="24"/>
        </w:rPr>
        <w:t>.</w:t>
      </w:r>
      <w:r w:rsidR="00673A35">
        <w:rPr>
          <w:szCs w:val="24"/>
        </w:rPr>
        <w:tab/>
        <w:t>Pripažįstame netekusiu galios 37 punktą.</w:t>
      </w:r>
    </w:p>
    <w:p w14:paraId="6D935E7B" w14:textId="77777777" w:rsidR="00673A35" w:rsidRDefault="00673A35">
      <w:pPr>
        <w:jc w:val="both"/>
      </w:pPr>
    </w:p>
    <w:p w14:paraId="773B92A0" w14:textId="77777777" w:rsidR="00673A35" w:rsidRDefault="00673A35">
      <w:pPr>
        <w:jc w:val="both"/>
      </w:pPr>
    </w:p>
    <w:p w14:paraId="234B52CE" w14:textId="77777777" w:rsidR="00673A35" w:rsidRDefault="00673A35">
      <w:pPr>
        <w:jc w:val="both"/>
      </w:pPr>
      <w:bookmarkStart w:id="0" w:name="_GoBack"/>
      <w:bookmarkEnd w:id="0"/>
    </w:p>
    <w:p w14:paraId="78929765" w14:textId="499C762A" w:rsidR="009B4AB1" w:rsidRDefault="00673A35">
      <w:pPr>
        <w:jc w:val="both"/>
      </w:pPr>
      <w:r>
        <w:t>Lietuvos statistikos departamento generalinė direktorė</w:t>
      </w:r>
      <w:r>
        <w:tab/>
      </w:r>
      <w:r>
        <w:tab/>
      </w:r>
      <w:r>
        <w:rPr>
          <w:rFonts w:eastAsia="Calibri"/>
          <w:bCs/>
          <w:caps/>
          <w:szCs w:val="24"/>
          <w:lang w:eastAsia="lt-LT"/>
        </w:rPr>
        <w:t>J</w:t>
      </w:r>
      <w:r>
        <w:rPr>
          <w:rFonts w:eastAsia="Calibri"/>
          <w:bCs/>
          <w:szCs w:val="24"/>
          <w:lang w:eastAsia="lt-LT"/>
        </w:rPr>
        <w:t>ūratė</w:t>
      </w:r>
      <w:r>
        <w:rPr>
          <w:rFonts w:eastAsia="Calibri"/>
          <w:bCs/>
          <w:caps/>
          <w:szCs w:val="24"/>
          <w:lang w:eastAsia="lt-LT"/>
        </w:rPr>
        <w:t xml:space="preserve"> P</w:t>
      </w:r>
      <w:r>
        <w:rPr>
          <w:rFonts w:eastAsia="Calibri"/>
          <w:bCs/>
          <w:szCs w:val="24"/>
          <w:lang w:eastAsia="lt-LT"/>
        </w:rPr>
        <w:t>etrauskienė</w:t>
      </w:r>
    </w:p>
    <w:p w14:paraId="2AC6F1D5" w14:textId="77777777" w:rsidR="009B4AB1" w:rsidRDefault="009B4AB1">
      <w:pPr>
        <w:jc w:val="both"/>
      </w:pPr>
    </w:p>
    <w:p w14:paraId="2D3840D6" w14:textId="77777777" w:rsidR="009B4AB1" w:rsidRDefault="009B4AB1">
      <w:pPr>
        <w:jc w:val="both"/>
      </w:pPr>
    </w:p>
    <w:p w14:paraId="621C1E04" w14:textId="77777777" w:rsidR="009B4AB1" w:rsidRDefault="009B4AB1">
      <w:pPr>
        <w:jc w:val="both"/>
      </w:pPr>
    </w:p>
    <w:p w14:paraId="6BB87C35" w14:textId="7809170E" w:rsidR="009B4AB1" w:rsidRDefault="00673A35">
      <w:pPr>
        <w:rPr>
          <w:rFonts w:eastAsia="Calibri"/>
          <w:bCs/>
          <w:szCs w:val="24"/>
          <w:lang w:eastAsia="lt-LT"/>
        </w:rPr>
      </w:pPr>
      <w:r>
        <w:rPr>
          <w:rFonts w:eastAsia="Calibri"/>
          <w:bCs/>
          <w:szCs w:val="24"/>
          <w:lang w:eastAsia="lt-LT"/>
        </w:rPr>
        <w:t xml:space="preserve">Muitinės departamento prie Lietuvos Respublikos </w:t>
      </w:r>
      <w:r>
        <w:rPr>
          <w:rFonts w:eastAsia="Calibri"/>
          <w:bCs/>
          <w:szCs w:val="24"/>
          <w:lang w:eastAsia="lt-LT"/>
        </w:rPr>
        <w:tab/>
      </w:r>
      <w:r>
        <w:rPr>
          <w:rFonts w:eastAsia="Calibri"/>
          <w:bCs/>
          <w:szCs w:val="24"/>
          <w:lang w:eastAsia="lt-LT"/>
        </w:rPr>
        <w:tab/>
      </w:r>
      <w:r>
        <w:rPr>
          <w:rFonts w:eastAsia="Calibri"/>
          <w:bCs/>
          <w:szCs w:val="24"/>
          <w:lang w:eastAsia="lt-LT"/>
        </w:rPr>
        <w:tab/>
      </w:r>
    </w:p>
    <w:p w14:paraId="1F81E7A8" w14:textId="77777777" w:rsidR="009B4AB1" w:rsidRDefault="00673A35">
      <w:pPr>
        <w:rPr>
          <w:rFonts w:eastAsia="Calibri"/>
          <w:bCs/>
          <w:szCs w:val="24"/>
          <w:lang w:eastAsia="lt-LT"/>
        </w:rPr>
      </w:pPr>
      <w:r>
        <w:rPr>
          <w:rFonts w:eastAsia="Calibri"/>
          <w:bCs/>
          <w:szCs w:val="24"/>
          <w:lang w:eastAsia="lt-LT"/>
        </w:rPr>
        <w:t>finansų ministerijos generalinio direktoriaus pavaduotojas,</w:t>
      </w:r>
    </w:p>
    <w:p w14:paraId="55A0C8CF" w14:textId="56F419EC" w:rsidR="009B4AB1" w:rsidRDefault="00673A35">
      <w:pPr>
        <w:rPr>
          <w:rFonts w:eastAsia="Calibri"/>
          <w:bCs/>
          <w:szCs w:val="24"/>
          <w:lang w:eastAsia="lt-LT"/>
        </w:rPr>
      </w:pPr>
      <w:r>
        <w:rPr>
          <w:rFonts w:eastAsia="Calibri"/>
          <w:bCs/>
          <w:szCs w:val="24"/>
          <w:lang w:eastAsia="lt-LT"/>
        </w:rPr>
        <w:t xml:space="preserve">atliekantis generalinio direktoriaus funkcijas </w:t>
      </w:r>
      <w:r>
        <w:rPr>
          <w:rFonts w:eastAsia="Calibri"/>
          <w:bCs/>
          <w:szCs w:val="24"/>
          <w:lang w:eastAsia="lt-LT"/>
        </w:rPr>
        <w:tab/>
      </w:r>
      <w:r>
        <w:rPr>
          <w:rFonts w:eastAsia="Calibri"/>
          <w:bCs/>
          <w:szCs w:val="24"/>
          <w:lang w:eastAsia="lt-LT"/>
        </w:rPr>
        <w:tab/>
      </w:r>
      <w:r>
        <w:rPr>
          <w:rFonts w:eastAsia="Calibri"/>
          <w:bCs/>
          <w:szCs w:val="24"/>
          <w:lang w:eastAsia="lt-LT"/>
        </w:rPr>
        <w:tab/>
        <w:t>Jonas Miškinis</w:t>
      </w:r>
    </w:p>
    <w:p w14:paraId="48CCEC50" w14:textId="77777777" w:rsidR="009B4AB1" w:rsidRDefault="006F1425"/>
    <w:sectPr w:rsidR="009B4AB1" w:rsidSect="006F1425">
      <w:headerReference w:type="even" r:id="rId8"/>
      <w:headerReference w:type="default" r:id="rId9"/>
      <w:footerReference w:type="even" r:id="rId10"/>
      <w:footerReference w:type="default" r:id="rId11"/>
      <w:headerReference w:type="first" r:id="rId12"/>
      <w:footerReference w:type="first" r:id="rId13"/>
      <w:pgSz w:w="11906" w:h="16838"/>
      <w:pgMar w:top="124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78F20" w14:textId="77777777" w:rsidR="009B4AB1" w:rsidRDefault="00673A35">
      <w:r>
        <w:separator/>
      </w:r>
    </w:p>
  </w:endnote>
  <w:endnote w:type="continuationSeparator" w:id="0">
    <w:p w14:paraId="414717CE" w14:textId="77777777" w:rsidR="009B4AB1" w:rsidRDefault="0067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5ECA" w14:textId="77777777" w:rsidR="009B4AB1" w:rsidRDefault="009B4AB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3441" w14:textId="77777777" w:rsidR="009B4AB1" w:rsidRDefault="009B4AB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351A" w14:textId="77777777" w:rsidR="009B4AB1" w:rsidRDefault="009B4AB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AAED" w14:textId="77777777" w:rsidR="009B4AB1" w:rsidRDefault="00673A35">
      <w:r>
        <w:separator/>
      </w:r>
    </w:p>
  </w:footnote>
  <w:footnote w:type="continuationSeparator" w:id="0">
    <w:p w14:paraId="188A939F" w14:textId="77777777" w:rsidR="009B4AB1" w:rsidRDefault="0067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37A1" w14:textId="77777777" w:rsidR="009B4AB1" w:rsidRDefault="009B4AB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BA7A" w14:textId="2870E1F6" w:rsidR="009B4AB1" w:rsidRDefault="00673A35" w:rsidP="006F1425">
    <w:pPr>
      <w:tabs>
        <w:tab w:val="center" w:pos="4819"/>
        <w:tab w:val="right" w:pos="9638"/>
      </w:tabs>
      <w:jc w:val="center"/>
    </w:pPr>
    <w:r>
      <w:fldChar w:fldCharType="begin"/>
    </w:r>
    <w:r>
      <w:instrText>PAGE   \* MERGEFORMAT</w:instrText>
    </w:r>
    <w:r>
      <w:fldChar w:fldCharType="separate"/>
    </w:r>
    <w:r w:rsidR="006F142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AABF" w14:textId="77777777" w:rsidR="009B4AB1" w:rsidRDefault="009B4AB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34"/>
    <w:rsid w:val="00673A35"/>
    <w:rsid w:val="006F1425"/>
    <w:rsid w:val="009B4AB1"/>
    <w:rsid w:val="00BB7334"/>
    <w:rsid w:val="00D41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46579">
      <w:bodyDiv w:val="1"/>
      <w:marLeft w:val="0"/>
      <w:marRight w:val="0"/>
      <w:marTop w:val="0"/>
      <w:marBottom w:val="0"/>
      <w:divBdr>
        <w:top w:val="none" w:sz="0" w:space="0" w:color="auto"/>
        <w:left w:val="none" w:sz="0" w:space="0" w:color="auto"/>
        <w:bottom w:val="none" w:sz="0" w:space="0" w:color="auto"/>
        <w:right w:val="none" w:sz="0" w:space="0" w:color="auto"/>
      </w:divBdr>
      <w:divsChild>
        <w:div w:id="839926951">
          <w:marLeft w:val="0"/>
          <w:marRight w:val="0"/>
          <w:marTop w:val="0"/>
          <w:marBottom w:val="0"/>
          <w:divBdr>
            <w:top w:val="none" w:sz="0" w:space="0" w:color="auto"/>
            <w:left w:val="none" w:sz="0" w:space="0" w:color="auto"/>
            <w:bottom w:val="none" w:sz="0" w:space="0" w:color="auto"/>
            <w:right w:val="none" w:sz="0" w:space="0" w:color="auto"/>
          </w:divBdr>
          <w:divsChild>
            <w:div w:id="1616908087">
              <w:marLeft w:val="0"/>
              <w:marRight w:val="0"/>
              <w:marTop w:val="0"/>
              <w:marBottom w:val="0"/>
              <w:divBdr>
                <w:top w:val="none" w:sz="0" w:space="0" w:color="auto"/>
                <w:left w:val="none" w:sz="0" w:space="0" w:color="auto"/>
                <w:bottom w:val="none" w:sz="0" w:space="0" w:color="auto"/>
                <w:right w:val="none" w:sz="0" w:space="0" w:color="auto"/>
              </w:divBdr>
              <w:divsChild>
                <w:div w:id="403918639">
                  <w:marLeft w:val="0"/>
                  <w:marRight w:val="0"/>
                  <w:marTop w:val="0"/>
                  <w:marBottom w:val="0"/>
                  <w:divBdr>
                    <w:top w:val="none" w:sz="0" w:space="0" w:color="auto"/>
                    <w:left w:val="none" w:sz="0" w:space="0" w:color="auto"/>
                    <w:bottom w:val="none" w:sz="0" w:space="0" w:color="auto"/>
                    <w:right w:val="none" w:sz="0" w:space="0" w:color="auto"/>
                  </w:divBdr>
                  <w:divsChild>
                    <w:div w:id="890658062">
                      <w:marLeft w:val="0"/>
                      <w:marRight w:val="0"/>
                      <w:marTop w:val="0"/>
                      <w:marBottom w:val="0"/>
                      <w:divBdr>
                        <w:top w:val="none" w:sz="0" w:space="0" w:color="auto"/>
                        <w:left w:val="none" w:sz="0" w:space="0" w:color="auto"/>
                        <w:bottom w:val="none" w:sz="0" w:space="0" w:color="auto"/>
                        <w:right w:val="none" w:sz="0" w:space="0" w:color="auto"/>
                      </w:divBdr>
                      <w:divsChild>
                        <w:div w:id="798186600">
                          <w:marLeft w:val="0"/>
                          <w:marRight w:val="0"/>
                          <w:marTop w:val="0"/>
                          <w:marBottom w:val="0"/>
                          <w:divBdr>
                            <w:top w:val="none" w:sz="0" w:space="0" w:color="auto"/>
                            <w:left w:val="none" w:sz="0" w:space="0" w:color="auto"/>
                            <w:bottom w:val="none" w:sz="0" w:space="0" w:color="auto"/>
                            <w:right w:val="none" w:sz="0" w:space="0" w:color="auto"/>
                          </w:divBdr>
                        </w:div>
                        <w:div w:id="789083600">
                          <w:marLeft w:val="0"/>
                          <w:marRight w:val="0"/>
                          <w:marTop w:val="0"/>
                          <w:marBottom w:val="0"/>
                          <w:divBdr>
                            <w:top w:val="none" w:sz="0" w:space="0" w:color="auto"/>
                            <w:left w:val="none" w:sz="0" w:space="0" w:color="auto"/>
                            <w:bottom w:val="none" w:sz="0" w:space="0" w:color="auto"/>
                            <w:right w:val="none" w:sz="0" w:space="0" w:color="auto"/>
                          </w:divBdr>
                        </w:div>
                        <w:div w:id="1692028260">
                          <w:marLeft w:val="0"/>
                          <w:marRight w:val="0"/>
                          <w:marTop w:val="0"/>
                          <w:marBottom w:val="0"/>
                          <w:divBdr>
                            <w:top w:val="none" w:sz="0" w:space="0" w:color="auto"/>
                            <w:left w:val="none" w:sz="0" w:space="0" w:color="auto"/>
                            <w:bottom w:val="none" w:sz="0" w:space="0" w:color="auto"/>
                            <w:right w:val="none" w:sz="0" w:space="0" w:color="auto"/>
                          </w:divBdr>
                        </w:div>
                        <w:div w:id="588275900">
                          <w:marLeft w:val="0"/>
                          <w:marRight w:val="0"/>
                          <w:marTop w:val="0"/>
                          <w:marBottom w:val="0"/>
                          <w:divBdr>
                            <w:top w:val="none" w:sz="0" w:space="0" w:color="auto"/>
                            <w:left w:val="none" w:sz="0" w:space="0" w:color="auto"/>
                            <w:bottom w:val="none" w:sz="0" w:space="0" w:color="auto"/>
                            <w:right w:val="none" w:sz="0" w:space="0" w:color="auto"/>
                          </w:divBdr>
                        </w:div>
                        <w:div w:id="1119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2889</Words>
  <Characters>1648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2020-11-13T07:34:00Z</dcterms:created>
  <dc:creator>Audronė Jarockytė</dc:creator>
  <lastModifiedBy>PAPINIGIENĖ Augustė</lastModifiedBy>
  <lastPrinted>2020-10-08T11:34:00Z</lastPrinted>
  <dcterms:modified xsi:type="dcterms:W3CDTF">2020-11-17T08:43:00Z</dcterms:modified>
  <revision>5</revision>
</coreProperties>
</file>