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D5934" w14:textId="3ACF3908" w:rsidR="00136F5A" w:rsidRDefault="009721F1" w:rsidP="009721F1">
      <w:pPr>
        <w:tabs>
          <w:tab w:val="center" w:pos="4153"/>
          <w:tab w:val="right" w:pos="8306"/>
        </w:tabs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53BD5954" wp14:editId="53BD5955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D5935" w14:textId="77777777" w:rsidR="00136F5A" w:rsidRDefault="00136F5A">
      <w:pPr>
        <w:jc w:val="center"/>
        <w:rPr>
          <w:caps/>
          <w:sz w:val="12"/>
          <w:szCs w:val="12"/>
        </w:rPr>
      </w:pPr>
    </w:p>
    <w:p w14:paraId="53BD5936" w14:textId="77777777" w:rsidR="00136F5A" w:rsidRDefault="009721F1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53BD5937" w14:textId="77777777" w:rsidR="00136F5A" w:rsidRDefault="009721F1">
      <w:pPr>
        <w:jc w:val="center"/>
        <w:rPr>
          <w:b/>
          <w:caps/>
        </w:rPr>
      </w:pPr>
      <w:r>
        <w:rPr>
          <w:b/>
          <w:caps/>
        </w:rPr>
        <w:t>ADMINISTRACINIŲ BYLŲ TEISENOS ĮSTATYMO NR. VIII-1029 4, 98 IR 99 STRAIPSNIŲ PAKEITIMO</w:t>
      </w:r>
    </w:p>
    <w:p w14:paraId="53BD5938" w14:textId="77777777" w:rsidR="00136F5A" w:rsidRDefault="009721F1">
      <w:pPr>
        <w:jc w:val="center"/>
        <w:rPr>
          <w:caps/>
        </w:rPr>
      </w:pPr>
      <w:r>
        <w:rPr>
          <w:b/>
          <w:caps/>
        </w:rPr>
        <w:t>ĮSTATYMAS</w:t>
      </w:r>
    </w:p>
    <w:p w14:paraId="53BD5939" w14:textId="77777777" w:rsidR="00136F5A" w:rsidRDefault="00136F5A">
      <w:pPr>
        <w:jc w:val="center"/>
        <w:rPr>
          <w:b/>
          <w:caps/>
        </w:rPr>
      </w:pPr>
    </w:p>
    <w:p w14:paraId="53BD593A" w14:textId="77777777" w:rsidR="00136F5A" w:rsidRDefault="009721F1">
      <w:pPr>
        <w:jc w:val="center"/>
        <w:rPr>
          <w:sz w:val="22"/>
        </w:rPr>
      </w:pPr>
      <w:r>
        <w:rPr>
          <w:sz w:val="22"/>
        </w:rPr>
        <w:t>2015 m. birželio 11 d. Nr. XII-1774</w:t>
      </w:r>
    </w:p>
    <w:p w14:paraId="53BD593B" w14:textId="77777777" w:rsidR="00136F5A" w:rsidRDefault="009721F1">
      <w:pPr>
        <w:jc w:val="center"/>
        <w:rPr>
          <w:sz w:val="22"/>
        </w:rPr>
      </w:pPr>
      <w:r>
        <w:rPr>
          <w:sz w:val="22"/>
        </w:rPr>
        <w:t>Vilnius</w:t>
      </w:r>
    </w:p>
    <w:p w14:paraId="53BD593C" w14:textId="77777777" w:rsidR="00136F5A" w:rsidRDefault="00136F5A">
      <w:pPr>
        <w:jc w:val="center"/>
        <w:rPr>
          <w:sz w:val="22"/>
        </w:rPr>
      </w:pPr>
    </w:p>
    <w:p w14:paraId="53BD593F" w14:textId="77777777" w:rsidR="00136F5A" w:rsidRDefault="00136F5A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53BD5940" w14:textId="77777777" w:rsidR="00136F5A" w:rsidRDefault="009721F1">
      <w:pPr>
        <w:spacing w:line="360" w:lineRule="auto"/>
        <w:ind w:firstLine="7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1</w:t>
      </w:r>
      <w:r>
        <w:rPr>
          <w:b/>
          <w:color w:val="000000"/>
          <w:szCs w:val="24"/>
        </w:rPr>
        <w:t xml:space="preserve"> straipsnis. </w:t>
      </w:r>
      <w:r>
        <w:rPr>
          <w:b/>
          <w:color w:val="000000"/>
          <w:szCs w:val="24"/>
        </w:rPr>
        <w:t xml:space="preserve">4 straipsnio pakeitimas </w:t>
      </w:r>
    </w:p>
    <w:p w14:paraId="53BD5941" w14:textId="77777777" w:rsidR="00136F5A" w:rsidRDefault="009721F1">
      <w:pPr>
        <w:tabs>
          <w:tab w:val="left" w:pos="748"/>
        </w:tabs>
        <w:spacing w:line="360" w:lineRule="auto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1</w:t>
      </w:r>
      <w:r>
        <w:rPr>
          <w:bCs/>
          <w:szCs w:val="24"/>
          <w:lang w:eastAsia="lt-LT"/>
        </w:rPr>
        <w:t>. Papildyti 4 straipsnį nauja 4 dalimi:</w:t>
      </w:r>
    </w:p>
    <w:p w14:paraId="53BD5942" w14:textId="77777777" w:rsidR="00136F5A" w:rsidRDefault="009721F1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4</w:t>
      </w:r>
      <w:r>
        <w:rPr>
          <w:szCs w:val="24"/>
          <w:lang w:eastAsia="lt-LT"/>
        </w:rPr>
        <w:t xml:space="preserve">. Lietuvos vyriausiasis administracinis teismas, kai tai susiję su jo nagrinėjama byla, gali kreiptis į Europos </w:t>
      </w:r>
      <w:r>
        <w:rPr>
          <w:szCs w:val="24"/>
          <w:lang w:eastAsia="lt-LT"/>
        </w:rPr>
        <w:t>žmogaus teisių teismą su prašymu pateikti konsultacinę</w:t>
      </w:r>
      <w:r>
        <w:rPr>
          <w:bCs/>
          <w:szCs w:val="24"/>
          <w:lang w:eastAsia="lt-LT"/>
        </w:rPr>
        <w:t xml:space="preserve"> išvadą dėl principinių klausimų, susijusių su Europos žmogaus teisių ir pagrindinių laisvių apsaugos konvencijoje ar jos protokoluose apibrėžtų teisių ir laisvių aiškinimu ar taikymu.“</w:t>
      </w:r>
    </w:p>
    <w:p w14:paraId="53BD5943" w14:textId="77777777" w:rsidR="00136F5A" w:rsidRDefault="009721F1">
      <w:pPr>
        <w:spacing w:line="360" w:lineRule="auto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2</w:t>
      </w:r>
      <w:r>
        <w:rPr>
          <w:bCs/>
          <w:szCs w:val="24"/>
          <w:lang w:eastAsia="lt-LT"/>
        </w:rPr>
        <w:t>. Buvus</w:t>
      </w:r>
      <w:r>
        <w:rPr>
          <w:bCs/>
          <w:szCs w:val="24"/>
          <w:lang w:eastAsia="lt-LT"/>
        </w:rPr>
        <w:t>ias 4 straipsnio 4, 5, 6 dalis laikyti atitinkamai 5, 6, 7 dalimis.</w:t>
      </w:r>
    </w:p>
    <w:p w14:paraId="53BD5944" w14:textId="77777777" w:rsidR="00136F5A" w:rsidRDefault="009721F1">
      <w:pPr>
        <w:tabs>
          <w:tab w:val="left" w:pos="748"/>
        </w:tabs>
        <w:spacing w:line="240" w:lineRule="atLeast"/>
        <w:ind w:firstLine="720"/>
        <w:jc w:val="both"/>
        <w:rPr>
          <w:b/>
          <w:bCs/>
          <w:szCs w:val="24"/>
          <w:lang w:eastAsia="lt-LT"/>
        </w:rPr>
      </w:pPr>
    </w:p>
    <w:p w14:paraId="53BD5945" w14:textId="77777777" w:rsidR="00136F5A" w:rsidRDefault="009721F1">
      <w:pPr>
        <w:tabs>
          <w:tab w:val="left" w:pos="748"/>
        </w:tabs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2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98 straipsnio pakeitimas</w:t>
      </w:r>
    </w:p>
    <w:p w14:paraId="53BD5946" w14:textId="77777777" w:rsidR="00136F5A" w:rsidRDefault="009721F1">
      <w:pPr>
        <w:tabs>
          <w:tab w:val="left" w:pos="748"/>
        </w:tabs>
        <w:spacing w:line="360" w:lineRule="auto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1</w:t>
      </w:r>
      <w:r>
        <w:rPr>
          <w:bCs/>
          <w:szCs w:val="24"/>
          <w:lang w:eastAsia="lt-LT"/>
        </w:rPr>
        <w:t>. Papildyti 98 straipsnį nauja 2 dalimi:</w:t>
      </w:r>
    </w:p>
    <w:p w14:paraId="53BD5947" w14:textId="77777777" w:rsidR="00136F5A" w:rsidRDefault="009721F1">
      <w:pPr>
        <w:tabs>
          <w:tab w:val="left" w:pos="748"/>
        </w:tabs>
        <w:spacing w:line="360" w:lineRule="auto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„</w:t>
      </w:r>
      <w:r>
        <w:rPr>
          <w:bCs/>
          <w:szCs w:val="24"/>
          <w:lang w:eastAsia="lt-LT"/>
        </w:rPr>
        <w:t>2</w:t>
      </w:r>
      <w:r>
        <w:rPr>
          <w:bCs/>
          <w:szCs w:val="24"/>
          <w:lang w:eastAsia="lt-LT"/>
        </w:rPr>
        <w:t>. Lietuvos vyriausiasis administracinis teismas sustabdo bylą, kai kreipiasi į Europos žmoga</w:t>
      </w:r>
      <w:r>
        <w:rPr>
          <w:bCs/>
          <w:szCs w:val="24"/>
          <w:lang w:eastAsia="lt-LT"/>
        </w:rPr>
        <w:t>us teisių teismą su prašymu pateikti konsultacinę išvadą dėl principinių klausimų, susijusių su Europos žmogaus teisių ir pagrindinių laisvių apsaugos konvencijoje ar jos protokoluose apibrėžtų teisių ir laisvių aiškinimu ar taikymu.“</w:t>
      </w:r>
    </w:p>
    <w:p w14:paraId="53BD5948" w14:textId="77777777" w:rsidR="00136F5A" w:rsidRDefault="009721F1">
      <w:pPr>
        <w:tabs>
          <w:tab w:val="left" w:pos="748"/>
        </w:tabs>
        <w:spacing w:line="360" w:lineRule="auto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2</w:t>
      </w:r>
      <w:r>
        <w:rPr>
          <w:bCs/>
          <w:szCs w:val="24"/>
          <w:lang w:eastAsia="lt-LT"/>
        </w:rPr>
        <w:t>. Buvusią 98</w:t>
      </w:r>
      <w:r>
        <w:rPr>
          <w:bCs/>
          <w:szCs w:val="24"/>
          <w:lang w:eastAsia="lt-LT"/>
        </w:rPr>
        <w:t xml:space="preserve"> straipsnio 2 dalį laikyti 3 dalimi.</w:t>
      </w:r>
    </w:p>
    <w:p w14:paraId="53BD5949" w14:textId="77777777" w:rsidR="00136F5A" w:rsidRDefault="009721F1">
      <w:pPr>
        <w:tabs>
          <w:tab w:val="left" w:pos="748"/>
        </w:tabs>
        <w:spacing w:line="240" w:lineRule="atLeast"/>
        <w:ind w:firstLine="720"/>
        <w:jc w:val="both"/>
        <w:rPr>
          <w:b/>
          <w:bCs/>
          <w:szCs w:val="24"/>
          <w:lang w:eastAsia="lt-LT"/>
        </w:rPr>
      </w:pPr>
    </w:p>
    <w:p w14:paraId="53BD594A" w14:textId="77777777" w:rsidR="00136F5A" w:rsidRDefault="009721F1">
      <w:pPr>
        <w:tabs>
          <w:tab w:val="left" w:pos="748"/>
        </w:tabs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3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99 straipsnio pakeitimas</w:t>
      </w:r>
    </w:p>
    <w:p w14:paraId="53BD594B" w14:textId="77777777" w:rsidR="00136F5A" w:rsidRDefault="009721F1">
      <w:pPr>
        <w:tabs>
          <w:tab w:val="left" w:pos="748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Papildyti 99 straipsnį 5 punktu:</w:t>
      </w:r>
    </w:p>
    <w:p w14:paraId="53BD594C" w14:textId="77777777" w:rsidR="00136F5A" w:rsidRDefault="009721F1">
      <w:pPr>
        <w:tabs>
          <w:tab w:val="left" w:pos="748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5</w:t>
      </w:r>
      <w:r>
        <w:rPr>
          <w:szCs w:val="24"/>
        </w:rPr>
        <w:t>) šio įstatymo 98 straipsnio 2 dalyje numatytu atveju – kol bus gauta Europos žmogaus teisių teismo konsultacinė išvada.“</w:t>
      </w:r>
    </w:p>
    <w:p w14:paraId="53BD594D" w14:textId="77777777" w:rsidR="00136F5A" w:rsidRDefault="009721F1">
      <w:pPr>
        <w:spacing w:line="240" w:lineRule="atLeast"/>
        <w:ind w:firstLine="720"/>
        <w:jc w:val="both"/>
        <w:rPr>
          <w:b/>
          <w:szCs w:val="24"/>
        </w:rPr>
      </w:pPr>
    </w:p>
    <w:p w14:paraId="53BD594E" w14:textId="77777777" w:rsidR="00136F5A" w:rsidRDefault="009721F1">
      <w:pPr>
        <w:tabs>
          <w:tab w:val="left" w:pos="748"/>
        </w:tabs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4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Įstatymo įsigaliojimas</w:t>
      </w:r>
    </w:p>
    <w:p w14:paraId="53BD594F" w14:textId="77777777" w:rsidR="00136F5A" w:rsidRDefault="009721F1">
      <w:pPr>
        <w:tabs>
          <w:tab w:val="left" w:pos="748"/>
        </w:tabs>
        <w:spacing w:line="360" w:lineRule="auto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Šis įstatymas įsigalioja Žmogaus teisių ir pagrindinių laisvių apsaugos konvencijos protokolo Nr. 16 įsigaliojimo Lietuvos Respublikai dieną.</w:t>
      </w:r>
    </w:p>
    <w:p w14:paraId="53BD5950" w14:textId="77777777" w:rsidR="00136F5A" w:rsidRDefault="009721F1">
      <w:pPr>
        <w:spacing w:line="240" w:lineRule="atLeast"/>
        <w:ind w:firstLine="720"/>
        <w:jc w:val="both"/>
      </w:pPr>
    </w:p>
    <w:bookmarkStart w:id="0" w:name="_GoBack" w:displacedByCustomXml="prev"/>
    <w:p w14:paraId="53BD5951" w14:textId="77777777" w:rsidR="00136F5A" w:rsidRDefault="009721F1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53BD5952" w14:textId="77777777" w:rsidR="00136F5A" w:rsidRDefault="00136F5A">
      <w:pPr>
        <w:spacing w:line="360" w:lineRule="auto"/>
      </w:pPr>
    </w:p>
    <w:p w14:paraId="53BD5953" w14:textId="77777777" w:rsidR="00136F5A" w:rsidRDefault="009721F1">
      <w:pPr>
        <w:tabs>
          <w:tab w:val="right" w:pos="9356"/>
        </w:tabs>
      </w:pPr>
      <w:r>
        <w:t>Respublikos Pr</w:t>
      </w:r>
      <w:r>
        <w:t>ezidentė</w:t>
      </w:r>
      <w:r>
        <w:rPr>
          <w:caps/>
        </w:rPr>
        <w:tab/>
      </w:r>
      <w:r>
        <w:t>Dalia Grybauskaitė</w:t>
      </w:r>
    </w:p>
    <w:bookmarkEnd w:id="0" w:displacedByCustomXml="next"/>
    <w:sectPr w:rsidR="00136F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D5958" w14:textId="77777777" w:rsidR="00136F5A" w:rsidRDefault="009721F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53BD5959" w14:textId="77777777" w:rsidR="00136F5A" w:rsidRDefault="009721F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D595E" w14:textId="77777777" w:rsidR="00136F5A" w:rsidRDefault="009721F1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53BD595F" w14:textId="77777777" w:rsidR="00136F5A" w:rsidRDefault="00136F5A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D5960" w14:textId="77777777" w:rsidR="00136F5A" w:rsidRDefault="009721F1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2</w:t>
    </w:r>
    <w:r>
      <w:rPr>
        <w:rFonts w:ascii="TimesLT" w:hAnsi="TimesLT"/>
      </w:rPr>
      <w:fldChar w:fldCharType="end"/>
    </w:r>
  </w:p>
  <w:p w14:paraId="53BD5961" w14:textId="77777777" w:rsidR="00136F5A" w:rsidRDefault="00136F5A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D5963" w14:textId="77777777" w:rsidR="00136F5A" w:rsidRDefault="00136F5A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D5956" w14:textId="77777777" w:rsidR="00136F5A" w:rsidRDefault="009721F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53BD5957" w14:textId="77777777" w:rsidR="00136F5A" w:rsidRDefault="009721F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D595A" w14:textId="77777777" w:rsidR="00136F5A" w:rsidRDefault="009721F1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53BD595B" w14:textId="77777777" w:rsidR="00136F5A" w:rsidRDefault="00136F5A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D595C" w14:textId="77777777" w:rsidR="00136F5A" w:rsidRDefault="009721F1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53BD595D" w14:textId="77777777" w:rsidR="00136F5A" w:rsidRDefault="00136F5A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D5962" w14:textId="77777777" w:rsidR="00136F5A" w:rsidRDefault="00136F5A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53"/>
    <w:rsid w:val="00136F5A"/>
    <w:rsid w:val="009721F1"/>
    <w:rsid w:val="00C3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D5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1678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2015-06-16T05:51:00Z</dcterms:created>
  <dc:creator>MANIUŠKIENĖ Violeta</dc:creator>
  <lastModifiedBy>GUMBYTĖ Danguolė</lastModifiedBy>
  <lastPrinted>2004-12-10T05:45:00Z</lastPrinted>
  <dcterms:modified xsi:type="dcterms:W3CDTF">2015-06-16T07:14:00Z</dcterms:modified>
  <revision>3</revision>
</coreProperties>
</file>