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0703" w14:textId="77777777" w:rsidR="003C5EA9" w:rsidRDefault="003C5EA9">
      <w:pPr>
        <w:tabs>
          <w:tab w:val="center" w:pos="4986"/>
          <w:tab w:val="right" w:pos="9972"/>
        </w:tabs>
      </w:pPr>
    </w:p>
    <w:p w14:paraId="6A120704" w14:textId="77777777" w:rsidR="003C5EA9" w:rsidRDefault="0090057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A120730" wp14:editId="6A120731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0706" w14:textId="77777777" w:rsidR="003C5EA9" w:rsidRDefault="0090057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A120707" w14:textId="77777777" w:rsidR="003C5EA9" w:rsidRDefault="003C5EA9">
      <w:pPr>
        <w:jc w:val="center"/>
        <w:rPr>
          <w:caps/>
          <w:lang w:eastAsia="lt-LT"/>
        </w:rPr>
      </w:pPr>
    </w:p>
    <w:p w14:paraId="6A120708" w14:textId="77777777" w:rsidR="003C5EA9" w:rsidRDefault="0090057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A120709" w14:textId="77777777" w:rsidR="003C5EA9" w:rsidRDefault="00900577">
      <w:pPr>
        <w:widowControl w:val="0"/>
        <w:jc w:val="center"/>
        <w:rPr>
          <w:b/>
          <w:caps/>
        </w:rPr>
      </w:pPr>
      <w:r>
        <w:rPr>
          <w:b/>
          <w:szCs w:val="24"/>
        </w:rPr>
        <w:t>DĖL LIETUVOS RESPUBLIKOS VYRIAUSYBĖS 2008 M. KOVO 5 D. NUTARIMO NR. 197 „DĖL ĮGALIOJIMŲ SUTEIKIMO ĮGYVENDINANT LIETUVOS RESPUBLIKOS ŽMONIŲ</w:t>
      </w:r>
      <w:r>
        <w:rPr>
          <w:b/>
          <w:szCs w:val="24"/>
        </w:rPr>
        <w:t xml:space="preserve"> PALAIKŲ LAIDOJIMO ĮSTATYMĄ</w:t>
      </w:r>
      <w:r>
        <w:rPr>
          <w:b/>
          <w:bCs/>
        </w:rPr>
        <w:t xml:space="preserve"> IR SUSITARIMĄ DĖL MIRUSIŲJŲ KŪNŲ PERVEŽIMO</w:t>
      </w:r>
      <w:r>
        <w:rPr>
          <w:b/>
          <w:szCs w:val="24"/>
        </w:rPr>
        <w:t>“ PAKEITIMO</w:t>
      </w:r>
      <w:r>
        <w:rPr>
          <w:b/>
          <w:caps/>
        </w:rPr>
        <w:t xml:space="preserve"> </w:t>
      </w:r>
    </w:p>
    <w:p w14:paraId="6A12070A" w14:textId="77777777" w:rsidR="003C5EA9" w:rsidRDefault="003C5EA9">
      <w:pPr>
        <w:tabs>
          <w:tab w:val="center" w:pos="4153"/>
          <w:tab w:val="right" w:pos="8306"/>
        </w:tabs>
        <w:rPr>
          <w:lang w:eastAsia="lt-LT"/>
        </w:rPr>
      </w:pPr>
    </w:p>
    <w:p w14:paraId="6A12070B" w14:textId="769DF770" w:rsidR="003C5EA9" w:rsidRDefault="00900577">
      <w:pPr>
        <w:ind w:firstLine="62"/>
        <w:jc w:val="center"/>
      </w:pPr>
      <w:r>
        <w:t xml:space="preserve">2018 m. rugsėjo 4 d. </w:t>
      </w:r>
      <w:r>
        <w:t>Nr. 872</w:t>
      </w:r>
    </w:p>
    <w:p w14:paraId="6A12070C" w14:textId="77777777" w:rsidR="003C5EA9" w:rsidRDefault="00900577">
      <w:pPr>
        <w:jc w:val="center"/>
      </w:pPr>
      <w:r>
        <w:t>Vilnius</w:t>
      </w:r>
    </w:p>
    <w:p w14:paraId="6A12070D" w14:textId="77777777" w:rsidR="003C5EA9" w:rsidRDefault="003C5EA9">
      <w:pPr>
        <w:jc w:val="center"/>
      </w:pPr>
    </w:p>
    <w:p w14:paraId="7E6DCCF8" w14:textId="77777777" w:rsidR="00900577" w:rsidRDefault="00900577">
      <w:pPr>
        <w:jc w:val="center"/>
      </w:pPr>
    </w:p>
    <w:p w14:paraId="6A12070E" w14:textId="77777777" w:rsidR="003C5EA9" w:rsidRDefault="00900577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A12070F" w14:textId="77777777" w:rsidR="003C5EA9" w:rsidRDefault="00900577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Pakeisti Lietuvos Respublikos Vyriausybės </w:t>
      </w:r>
      <w:r>
        <w:rPr>
          <w:szCs w:val="24"/>
        </w:rPr>
        <w:t>2008 m. kovo 5 d. nutarimą Nr. 197 „Dėl įgaliojimų suteikimo įgyvendinant</w:t>
      </w:r>
      <w:r>
        <w:rPr>
          <w:szCs w:val="24"/>
        </w:rPr>
        <w:t xml:space="preserve"> Lietuvos Respublikos žmonių palaikų laidojimo įstatymą ir </w:t>
      </w:r>
      <w:r>
        <w:rPr>
          <w:bCs/>
        </w:rPr>
        <w:t>Susitarimą dėl mirusiųjų kūnų pervežimo</w:t>
      </w:r>
      <w:r>
        <w:rPr>
          <w:szCs w:val="24"/>
        </w:rPr>
        <w:t>“ ir išdėstyti jį nauja redakcija</w:t>
      </w:r>
      <w:r>
        <w:rPr>
          <w:color w:val="000000"/>
          <w:szCs w:val="24"/>
        </w:rPr>
        <w:t>:</w:t>
      </w:r>
    </w:p>
    <w:p w14:paraId="6A120710" w14:textId="77777777" w:rsidR="003C5EA9" w:rsidRDefault="003C5EA9">
      <w:pPr>
        <w:rPr>
          <w:sz w:val="8"/>
          <w:szCs w:val="8"/>
        </w:rPr>
      </w:pPr>
    </w:p>
    <w:p w14:paraId="6A120711" w14:textId="77777777" w:rsidR="003C5EA9" w:rsidRDefault="00900577">
      <w:pPr>
        <w:jc w:val="center"/>
        <w:rPr>
          <w:szCs w:val="24"/>
        </w:rPr>
      </w:pPr>
      <w:r>
        <w:rPr>
          <w:b/>
          <w:bCs/>
          <w:szCs w:val="24"/>
        </w:rPr>
        <w:t>„LIETUVOS RESPUBLIKOS VYRIAUSYBĖ</w:t>
      </w:r>
    </w:p>
    <w:p w14:paraId="6A120712" w14:textId="77777777" w:rsidR="003C5EA9" w:rsidRDefault="003C5EA9">
      <w:pPr>
        <w:rPr>
          <w:sz w:val="8"/>
          <w:szCs w:val="8"/>
        </w:rPr>
      </w:pPr>
    </w:p>
    <w:p w14:paraId="6A120713" w14:textId="77777777" w:rsidR="003C5EA9" w:rsidRDefault="00900577">
      <w:pPr>
        <w:jc w:val="center"/>
        <w:rPr>
          <w:szCs w:val="24"/>
        </w:rPr>
      </w:pPr>
      <w:r>
        <w:rPr>
          <w:b/>
          <w:bCs/>
          <w:szCs w:val="24"/>
        </w:rPr>
        <w:t>NUTARIMAS</w:t>
      </w:r>
    </w:p>
    <w:p w14:paraId="6A120714" w14:textId="77777777" w:rsidR="003C5EA9" w:rsidRDefault="003C5EA9">
      <w:pPr>
        <w:rPr>
          <w:sz w:val="8"/>
          <w:szCs w:val="8"/>
        </w:rPr>
      </w:pPr>
    </w:p>
    <w:p w14:paraId="6A120715" w14:textId="77777777" w:rsidR="003C5EA9" w:rsidRDefault="00900577">
      <w:pPr>
        <w:jc w:val="center"/>
        <w:rPr>
          <w:szCs w:val="24"/>
        </w:rPr>
      </w:pPr>
      <w:r>
        <w:rPr>
          <w:b/>
          <w:bCs/>
          <w:szCs w:val="24"/>
        </w:rPr>
        <w:t xml:space="preserve">DĖL ĮGALIOJIMŲ SUTEIKIMO ĮGYVENDINANT LIETUVOS RESPUBLIKOS ŽMONIŲ PALAIKŲ </w:t>
      </w:r>
      <w:r>
        <w:rPr>
          <w:b/>
          <w:bCs/>
          <w:szCs w:val="24"/>
        </w:rPr>
        <w:t>LAIDOJIMO ĮSTATYMĄ IR SUSITARIMĄ DĖL MIRUSIŲJŲ KŪNŲ PERVEŽIMO</w:t>
      </w:r>
    </w:p>
    <w:p w14:paraId="6A120716" w14:textId="77777777" w:rsidR="003C5EA9" w:rsidRDefault="003C5EA9">
      <w:pPr>
        <w:rPr>
          <w:sz w:val="8"/>
          <w:szCs w:val="8"/>
        </w:rPr>
      </w:pPr>
    </w:p>
    <w:p w14:paraId="6A120717" w14:textId="77777777" w:rsidR="003C5EA9" w:rsidRDefault="00900577">
      <w:pPr>
        <w:spacing w:line="276" w:lineRule="auto"/>
        <w:ind w:firstLine="782"/>
        <w:jc w:val="both"/>
        <w:rPr>
          <w:rFonts w:eastAsia="Calibri"/>
          <w:szCs w:val="22"/>
          <w:lang w:eastAsia="lt-LT"/>
        </w:rPr>
      </w:pPr>
      <w:r>
        <w:rPr>
          <w:rFonts w:eastAsia="Calibri"/>
          <w:szCs w:val="22"/>
          <w:lang w:eastAsia="lt-LT"/>
        </w:rPr>
        <w:t xml:space="preserve">Vadovaudamasi Lietuvos Respublikos </w:t>
      </w:r>
      <w:r>
        <w:rPr>
          <w:rFonts w:eastAsia="Calibri"/>
          <w:color w:val="000000"/>
          <w:szCs w:val="22"/>
          <w:lang w:eastAsia="lt-LT"/>
        </w:rPr>
        <w:t xml:space="preserve">žmonių palaikų laidojimo įstatymo (2018 m. gegužės 24 d. įstatymo Nr. </w:t>
      </w:r>
      <w:r>
        <w:rPr>
          <w:rFonts w:eastAsia="Calibri"/>
          <w:szCs w:val="22"/>
          <w:lang w:eastAsia="lt-LT"/>
        </w:rPr>
        <w:t xml:space="preserve">XIII-1189 </w:t>
      </w:r>
      <w:r>
        <w:rPr>
          <w:rFonts w:eastAsia="Calibri"/>
          <w:color w:val="000000"/>
          <w:szCs w:val="22"/>
          <w:lang w:eastAsia="lt-LT"/>
        </w:rPr>
        <w:t>redakcija) 6</w:t>
      </w:r>
      <w:r>
        <w:rPr>
          <w:rFonts w:eastAsia="Calibri"/>
          <w:szCs w:val="22"/>
          <w:lang w:eastAsia="lt-LT"/>
        </w:rPr>
        <w:t xml:space="preserve"> straipsnio 1 dalimi, </w:t>
      </w:r>
      <w:r>
        <w:rPr>
          <w:rFonts w:eastAsia="Calibri"/>
          <w:color w:val="000000"/>
          <w:szCs w:val="22"/>
          <w:lang w:eastAsia="lt-LT"/>
        </w:rPr>
        <w:t>11</w:t>
      </w:r>
      <w:r>
        <w:rPr>
          <w:rFonts w:eastAsia="Calibri"/>
          <w:szCs w:val="22"/>
          <w:lang w:eastAsia="lt-LT"/>
        </w:rPr>
        <w:t xml:space="preserve"> straipsnio 3 dalimi, </w:t>
      </w:r>
      <w:r>
        <w:rPr>
          <w:rFonts w:eastAsia="Calibri"/>
          <w:color w:val="000000"/>
          <w:szCs w:val="22"/>
          <w:lang w:eastAsia="lt-LT"/>
        </w:rPr>
        <w:t>12</w:t>
      </w:r>
      <w:r>
        <w:rPr>
          <w:rFonts w:eastAsia="Calibri"/>
          <w:szCs w:val="22"/>
          <w:lang w:eastAsia="lt-LT"/>
        </w:rPr>
        <w:t xml:space="preserve"> straipsniu, </w:t>
      </w:r>
      <w:r>
        <w:rPr>
          <w:rFonts w:eastAsia="Calibri"/>
          <w:color w:val="000000"/>
          <w:szCs w:val="22"/>
          <w:lang w:eastAsia="lt-LT"/>
        </w:rPr>
        <w:t>14</w:t>
      </w:r>
      <w:r>
        <w:rPr>
          <w:rFonts w:eastAsia="Calibri"/>
          <w:szCs w:val="22"/>
          <w:lang w:eastAsia="lt-LT"/>
        </w:rPr>
        <w:t xml:space="preserve"> st</w:t>
      </w:r>
      <w:r>
        <w:rPr>
          <w:rFonts w:eastAsia="Calibri"/>
          <w:szCs w:val="22"/>
          <w:lang w:eastAsia="lt-LT"/>
        </w:rPr>
        <w:t xml:space="preserve">raipsnio 1 ir 3 dalimis, </w:t>
      </w:r>
      <w:r>
        <w:rPr>
          <w:rFonts w:eastAsia="Calibri"/>
          <w:color w:val="000000"/>
          <w:szCs w:val="22"/>
          <w:lang w:eastAsia="lt-LT"/>
        </w:rPr>
        <w:t>15</w:t>
      </w:r>
      <w:r>
        <w:rPr>
          <w:rFonts w:eastAsia="Calibri"/>
          <w:szCs w:val="22"/>
          <w:lang w:eastAsia="lt-LT"/>
        </w:rPr>
        <w:t xml:space="preserve"> straipsnio 1 dalimi, </w:t>
      </w:r>
      <w:r>
        <w:rPr>
          <w:rFonts w:eastAsia="Calibri"/>
          <w:color w:val="000000"/>
          <w:szCs w:val="22"/>
          <w:lang w:eastAsia="lt-LT"/>
        </w:rPr>
        <w:t>20</w:t>
      </w:r>
      <w:r>
        <w:rPr>
          <w:rFonts w:eastAsia="Calibri"/>
          <w:szCs w:val="22"/>
          <w:lang w:eastAsia="lt-LT"/>
        </w:rPr>
        <w:t xml:space="preserve"> straipsnio 3 dalies 2 punktu, </w:t>
      </w:r>
      <w:r>
        <w:rPr>
          <w:rFonts w:eastAsia="Calibri"/>
          <w:color w:val="000000"/>
          <w:szCs w:val="22"/>
          <w:lang w:eastAsia="lt-LT"/>
        </w:rPr>
        <w:t>21</w:t>
      </w:r>
      <w:r>
        <w:rPr>
          <w:rFonts w:eastAsia="Calibri"/>
          <w:szCs w:val="22"/>
          <w:lang w:eastAsia="lt-LT"/>
        </w:rPr>
        <w:t xml:space="preserve"> straipsnio 4 dalimi, </w:t>
      </w:r>
      <w:r>
        <w:rPr>
          <w:rFonts w:eastAsia="Calibri"/>
          <w:color w:val="000000"/>
          <w:szCs w:val="22"/>
          <w:lang w:eastAsia="lt-LT"/>
        </w:rPr>
        <w:t>22</w:t>
      </w:r>
      <w:r>
        <w:rPr>
          <w:rFonts w:eastAsia="Calibri"/>
          <w:szCs w:val="22"/>
          <w:lang w:eastAsia="lt-LT"/>
        </w:rPr>
        <w:t xml:space="preserve"> straipsnio 1-3 dalimis, Lietuvos Respublikos įstatymo „Dėl Susitarimo dėl mirusiųjų kūnų pervežimo ratifikavimo“ 2 straipsniu, Lietuvos Respublikos</w:t>
      </w:r>
      <w:r>
        <w:rPr>
          <w:rFonts w:eastAsia="Calibri"/>
          <w:szCs w:val="22"/>
          <w:lang w:eastAsia="lt-LT"/>
        </w:rPr>
        <w:t xml:space="preserve"> Vyriausybė </w:t>
      </w:r>
      <w:r>
        <w:rPr>
          <w:rFonts w:eastAsia="Calibri"/>
          <w:spacing w:val="100"/>
          <w:szCs w:val="24"/>
          <w:lang w:eastAsia="lt-LT"/>
        </w:rPr>
        <w:t>nutari</w:t>
      </w:r>
      <w:r>
        <w:rPr>
          <w:rFonts w:eastAsia="Calibri"/>
          <w:szCs w:val="24"/>
          <w:lang w:eastAsia="lt-LT"/>
        </w:rPr>
        <w:t>a</w:t>
      </w:r>
      <w:r>
        <w:rPr>
          <w:rFonts w:eastAsia="Calibri"/>
          <w:szCs w:val="22"/>
          <w:lang w:eastAsia="lt-LT"/>
        </w:rPr>
        <w:t>:</w:t>
      </w:r>
    </w:p>
    <w:p w14:paraId="6A120718" w14:textId="77777777" w:rsidR="003C5EA9" w:rsidRDefault="00900577">
      <w:pPr>
        <w:spacing w:line="276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 Įgalioti Aplinkos ministeriją patvirtinti:</w:t>
      </w:r>
    </w:p>
    <w:p w14:paraId="6A120719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prašymo kremuoti žmogaus palaikus formą;</w:t>
      </w:r>
    </w:p>
    <w:p w14:paraId="6A12071A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Aplinkosaugos reikalavimų kremavimo įmonėms aprašą;</w:t>
      </w:r>
    </w:p>
    <w:p w14:paraId="6A12071B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 Kremavimo atvejų registravimo kremavimo registracijos žurnaluose tv</w:t>
      </w:r>
      <w:r>
        <w:rPr>
          <w:szCs w:val="24"/>
        </w:rPr>
        <w:t>arkos aprašą;</w:t>
      </w:r>
    </w:p>
    <w:p w14:paraId="6A12071C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 prašymo išduoti kremuotus žmogaus palaikus formą.</w:t>
      </w:r>
    </w:p>
    <w:p w14:paraId="6A12071D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Įgalioti Sveikatos apsaugos ministeriją patvirtinti:</w:t>
      </w:r>
    </w:p>
    <w:p w14:paraId="6A12071E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Visuomenės sveikatos saugos reikalavimų kremavimo įmonėms aprašą;</w:t>
      </w:r>
    </w:p>
    <w:p w14:paraId="6A12071F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 xml:space="preserve">. Dokumento (mirusiojo kūno </w:t>
      </w:r>
      <w:proofErr w:type="spellStart"/>
      <w:r>
        <w:rPr>
          <w:i/>
          <w:szCs w:val="24"/>
        </w:rPr>
        <w:t>laissez-passer</w:t>
      </w:r>
      <w:r>
        <w:rPr>
          <w:szCs w:val="24"/>
        </w:rPr>
        <w:t>)</w:t>
      </w:r>
      <w:proofErr w:type="spellEnd"/>
      <w:r>
        <w:rPr>
          <w:szCs w:val="24"/>
        </w:rPr>
        <w:t xml:space="preserve"> išdavimo taisykles ir dokumento (mirusiojo kūno </w:t>
      </w:r>
      <w:proofErr w:type="spellStart"/>
      <w:r>
        <w:rPr>
          <w:i/>
          <w:szCs w:val="24"/>
        </w:rPr>
        <w:t>laissez-passer</w:t>
      </w:r>
      <w:r>
        <w:rPr>
          <w:szCs w:val="24"/>
        </w:rPr>
        <w:t>)</w:t>
      </w:r>
      <w:proofErr w:type="spellEnd"/>
      <w:r>
        <w:rPr>
          <w:szCs w:val="24"/>
        </w:rPr>
        <w:t xml:space="preserve"> ir Paraiškos gauti dokumentą (mirusiojo kūno </w:t>
      </w:r>
      <w:proofErr w:type="spellStart"/>
      <w:r>
        <w:rPr>
          <w:i/>
          <w:szCs w:val="24"/>
        </w:rPr>
        <w:t>laissez-passer</w:t>
      </w:r>
      <w:r>
        <w:rPr>
          <w:szCs w:val="24"/>
        </w:rPr>
        <w:t>)</w:t>
      </w:r>
      <w:proofErr w:type="spellEnd"/>
      <w:r>
        <w:rPr>
          <w:szCs w:val="24"/>
        </w:rPr>
        <w:t xml:space="preserve"> formas;</w:t>
      </w:r>
    </w:p>
    <w:p w14:paraId="6A120720" w14:textId="77777777" w:rsidR="003C5EA9" w:rsidRDefault="00900577">
      <w:pPr>
        <w:spacing w:line="276" w:lineRule="auto"/>
        <w:ind w:firstLine="782"/>
        <w:jc w:val="both"/>
        <w:rPr>
          <w:color w:val="000000"/>
          <w:szCs w:val="24"/>
        </w:rPr>
      </w:pPr>
      <w:r>
        <w:rPr>
          <w:color w:val="000000"/>
          <w:szCs w:val="24"/>
        </w:rPr>
        <w:t>2.3</w:t>
      </w:r>
      <w:r>
        <w:rPr>
          <w:color w:val="000000"/>
          <w:szCs w:val="24"/>
        </w:rPr>
        <w:t xml:space="preserve">. Informavimo apie </w:t>
      </w:r>
      <w:r>
        <w:rPr>
          <w:bCs/>
        </w:rPr>
        <w:t xml:space="preserve">žmogaus palaikų vežimą į užsienio valstybes, kurios nėra </w:t>
      </w:r>
      <w:r>
        <w:t>1973 m. spalio 26 d. Str</w:t>
      </w:r>
      <w:r>
        <w:t xml:space="preserve">asbūre priimto Susitarimo dėl mirusiųjų kūnų pervežimo (toliau – susitarimas) </w:t>
      </w:r>
      <w:r>
        <w:rPr>
          <w:bCs/>
        </w:rPr>
        <w:t>šalys, taip pat iš šių valstybių per Lietuvos Respublikos teritoriją vežimą tranzitu tvarkos aprašą.</w:t>
      </w:r>
    </w:p>
    <w:p w14:paraId="6A120721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Paskirti Nacionalinį visuomenės sveikatos centrą prie Sveikatos apsa</w:t>
      </w:r>
      <w:r>
        <w:rPr>
          <w:szCs w:val="24"/>
        </w:rPr>
        <w:t xml:space="preserve">ugos ministerijos kompetentinga institucija dėl dokumento (mirusiojo kūno </w:t>
      </w:r>
      <w:proofErr w:type="spellStart"/>
      <w:r>
        <w:rPr>
          <w:i/>
          <w:szCs w:val="24"/>
        </w:rPr>
        <w:t>laissez-passer</w:t>
      </w:r>
      <w:r>
        <w:rPr>
          <w:szCs w:val="24"/>
        </w:rPr>
        <w:t>)</w:t>
      </w:r>
      <w:proofErr w:type="spellEnd"/>
      <w:r>
        <w:rPr>
          <w:szCs w:val="24"/>
        </w:rPr>
        <w:t xml:space="preserve"> išdavimo ar atsisakymo jį išduoti.</w:t>
      </w:r>
    </w:p>
    <w:p w14:paraId="6A120722" w14:textId="77777777" w:rsidR="003C5EA9" w:rsidRDefault="00900577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  <w:r>
        <w:rPr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</w:rPr>
        <w:t>Įgalioti Nacionalinį visuomenės sveikatos centrą prie Sveikatos apsaugos ministerijos atlikti įgaliotosios institucijos, kur</w:t>
      </w:r>
      <w:r>
        <w:rPr>
          <w:color w:val="000000"/>
          <w:szCs w:val="24"/>
        </w:rPr>
        <w:t xml:space="preserve">iai teikiama informacija apie </w:t>
      </w:r>
      <w:r>
        <w:rPr>
          <w:bCs/>
        </w:rPr>
        <w:t>žmogaus palaikų vežimą į užsienio valstybes, kurios nėra susitarimo šalys, taip pat iš šių valstybių per Lietuvos Respublikos teritoriją vežimą tranzitu, funkcijas.</w:t>
      </w:r>
    </w:p>
    <w:p w14:paraId="6A120723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Įgalioti:</w:t>
      </w:r>
    </w:p>
    <w:p w14:paraId="6A120724" w14:textId="77777777" w:rsidR="003C5EA9" w:rsidRDefault="00900577">
      <w:pPr>
        <w:spacing w:line="276" w:lineRule="auto"/>
        <w:ind w:firstLine="720"/>
        <w:jc w:val="both"/>
        <w:rPr>
          <w:color w:val="000000"/>
          <w:szCs w:val="24"/>
        </w:rPr>
      </w:pPr>
      <w:r>
        <w:t>5.1</w:t>
      </w:r>
      <w:r>
        <w:t>. Susisiekimo ministeriją, suderinus su</w:t>
      </w:r>
      <w:r>
        <w:t xml:space="preserve"> Sveikatos apsaugos ministerija, patvirtinti Reikalavimų žmonių palaikams vežti skirtoms transporto priemonėms aprašą;</w:t>
      </w:r>
    </w:p>
    <w:p w14:paraId="6A120725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>. Sveikatos apsaugos ministeriją kartu su Švietimo ir mokslo ministerija patvirtinti Žmonių palaikų paruošimo kremuoti taisykles;</w:t>
      </w:r>
    </w:p>
    <w:p w14:paraId="6A120726" w14:textId="77777777" w:rsidR="003C5EA9" w:rsidRDefault="00900577">
      <w:pPr>
        <w:spacing w:line="276" w:lineRule="auto"/>
        <w:ind w:firstLine="720"/>
        <w:jc w:val="both"/>
      </w:pPr>
      <w:r>
        <w:t>5.3</w:t>
      </w:r>
      <w:r>
        <w:t>. Sveikatos apsaugos ministeriją ir Vidaus reikalų ministeriją patvirtinti Žmogaus palaikų vežimo patologinės anatomijos tyrimams ar teismo medicinos ekspertizėms ir tyrimams tvarkos aprašą;</w:t>
      </w:r>
    </w:p>
    <w:p w14:paraId="6A120727" w14:textId="77777777" w:rsidR="003C5EA9" w:rsidRDefault="00900577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>. Vidaus reikalų ministeriją patvirtinti Nenustatyt</w:t>
      </w:r>
      <w:r>
        <w:rPr>
          <w:szCs w:val="24"/>
        </w:rPr>
        <w:t>os tapatybės žmogaus palaikų laidojimo organizavimo tvarkos aprašą.</w:t>
      </w:r>
    </w:p>
    <w:p w14:paraId="6A12072B" w14:textId="1A3FFD0C" w:rsidR="003C5EA9" w:rsidRDefault="00900577" w:rsidP="00900577">
      <w:pPr>
        <w:spacing w:line="276" w:lineRule="auto"/>
        <w:ind w:firstLine="720"/>
        <w:jc w:val="both"/>
        <w:rPr>
          <w:lang w:eastAsia="lt-LT"/>
        </w:rPr>
      </w:pPr>
      <w:r>
        <w:rPr>
          <w:szCs w:val="24"/>
        </w:rPr>
        <w:t>6</w:t>
      </w:r>
      <w:r>
        <w:rPr>
          <w:szCs w:val="24"/>
        </w:rPr>
        <w:t>. Nustatyti, kad duomenys apie mirusius asmenis, kai žinoma ar įtariama, kad asmens mirties priežastis yra nusikalstama veika ir dėl to vyksta ikiteisminis tyrimas, kremavimo įmonėm</w:t>
      </w:r>
      <w:r>
        <w:rPr>
          <w:szCs w:val="24"/>
        </w:rPr>
        <w:t>s teikiami iš Nusikalstamų veikų žinybinio registro šio registro nuostatų nustatyta tvarka.“</w:t>
      </w:r>
    </w:p>
    <w:p w14:paraId="67948DC2" w14:textId="77777777" w:rsidR="00900577" w:rsidRDefault="00900577">
      <w:pPr>
        <w:tabs>
          <w:tab w:val="center" w:pos="-7800"/>
          <w:tab w:val="left" w:pos="6237"/>
          <w:tab w:val="right" w:pos="8306"/>
        </w:tabs>
      </w:pPr>
    </w:p>
    <w:p w14:paraId="66BB1337" w14:textId="77777777" w:rsidR="00900577" w:rsidRDefault="00900577">
      <w:pPr>
        <w:tabs>
          <w:tab w:val="center" w:pos="-7800"/>
          <w:tab w:val="left" w:pos="6237"/>
          <w:tab w:val="right" w:pos="8306"/>
        </w:tabs>
      </w:pPr>
    </w:p>
    <w:p w14:paraId="31DD0A82" w14:textId="77777777" w:rsidR="00900577" w:rsidRDefault="00900577">
      <w:pPr>
        <w:tabs>
          <w:tab w:val="center" w:pos="-7800"/>
          <w:tab w:val="left" w:pos="6237"/>
          <w:tab w:val="right" w:pos="8306"/>
        </w:tabs>
      </w:pPr>
    </w:p>
    <w:p w14:paraId="6A12072C" w14:textId="490F3041" w:rsidR="003C5EA9" w:rsidRDefault="0090057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                 Saulius </w:t>
      </w:r>
      <w:proofErr w:type="spellStart"/>
      <w:r>
        <w:rPr>
          <w:lang w:eastAsia="lt-LT"/>
        </w:rPr>
        <w:t>Skvernelis</w:t>
      </w:r>
      <w:proofErr w:type="spellEnd"/>
    </w:p>
    <w:p w14:paraId="6A12072D" w14:textId="77777777" w:rsidR="003C5EA9" w:rsidRDefault="003C5EA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A12072E" w14:textId="77777777" w:rsidR="003C5EA9" w:rsidRDefault="003C5EA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D8A13B5" w14:textId="77777777" w:rsidR="00900577" w:rsidRDefault="0090057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6A12072F" w14:textId="58292555" w:rsidR="003C5EA9" w:rsidRDefault="00900577" w:rsidP="00900577">
      <w:pPr>
        <w:tabs>
          <w:tab w:val="center" w:pos="-7800"/>
          <w:tab w:val="left" w:pos="6237"/>
          <w:tab w:val="left" w:pos="7371"/>
          <w:tab w:val="right" w:pos="8306"/>
        </w:tabs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>Kęstutis Navickas</w:t>
      </w:r>
    </w:p>
    <w:sectPr w:rsidR="003C5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20734" w14:textId="77777777" w:rsidR="003C5EA9" w:rsidRDefault="0090057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A120735" w14:textId="77777777" w:rsidR="003C5EA9" w:rsidRDefault="0090057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73A" w14:textId="77777777" w:rsidR="003C5EA9" w:rsidRDefault="003C5EA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73B" w14:textId="77777777" w:rsidR="003C5EA9" w:rsidRDefault="003C5EA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73D" w14:textId="77777777" w:rsidR="003C5EA9" w:rsidRDefault="003C5EA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20732" w14:textId="77777777" w:rsidR="003C5EA9" w:rsidRDefault="0090057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A120733" w14:textId="77777777" w:rsidR="003C5EA9" w:rsidRDefault="0090057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736" w14:textId="77777777" w:rsidR="003C5EA9" w:rsidRDefault="0090057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end"/>
    </w:r>
  </w:p>
  <w:p w14:paraId="6A120737" w14:textId="77777777" w:rsidR="003C5EA9" w:rsidRDefault="003C5EA9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738" w14:textId="77777777" w:rsidR="003C5EA9" w:rsidRDefault="0090057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6A120739" w14:textId="77777777" w:rsidR="003C5EA9" w:rsidRDefault="003C5EA9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73C" w14:textId="77777777" w:rsidR="003C5EA9" w:rsidRDefault="003C5EA9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EB"/>
    <w:rsid w:val="003C5EA9"/>
    <w:rsid w:val="005529EB"/>
    <w:rsid w:val="009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120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3720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2018-09-06T13:33:00Z</dcterms:created>
  <dc:creator>Vaiva Rumbutiene2</dc:creator>
  <lastModifiedBy>ŠAULYTĖ SKAIRIENĖ Dalia</lastModifiedBy>
  <lastPrinted>2017-12-22T09:01:00Z</lastPrinted>
  <dcterms:modified xsi:type="dcterms:W3CDTF">2018-09-06T14:05:00Z</dcterms:modified>
  <revision>3</revision>
</coreProperties>
</file>