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C0EFD" w14:textId="447A7E45" w:rsidR="00762438" w:rsidRDefault="00762438" w:rsidP="00D068CE">
      <w:pPr>
        <w:tabs>
          <w:tab w:val="center" w:pos="4986"/>
          <w:tab w:val="right" w:pos="9972"/>
        </w:tabs>
        <w:rPr>
          <w:b/>
          <w:color w:val="000000"/>
          <w:szCs w:val="24"/>
          <w:lang w:eastAsia="en-GB"/>
        </w:rPr>
      </w:pPr>
    </w:p>
    <w:p w14:paraId="281C0EFE" w14:textId="77777777" w:rsidR="00762438" w:rsidRDefault="00D068CE">
      <w:pPr>
        <w:tabs>
          <w:tab w:val="left" w:pos="5954"/>
        </w:tabs>
        <w:jc w:val="center"/>
        <w:rPr>
          <w:color w:val="000000"/>
          <w:sz w:val="20"/>
          <w:szCs w:val="24"/>
          <w:lang w:eastAsia="en-GB"/>
        </w:rPr>
      </w:pPr>
      <w:r>
        <w:rPr>
          <w:noProof/>
          <w:color w:val="000000"/>
          <w:sz w:val="20"/>
          <w:szCs w:val="24"/>
          <w:lang w:eastAsia="lt-LT"/>
        </w:rPr>
        <w:drawing>
          <wp:inline distT="0" distB="0" distL="0" distR="0" wp14:anchorId="281C0F9C" wp14:editId="281C0F9D">
            <wp:extent cx="552450" cy="565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65150"/>
                    </a:xfrm>
                    <a:prstGeom prst="rect">
                      <a:avLst/>
                    </a:prstGeom>
                    <a:noFill/>
                    <a:ln>
                      <a:noFill/>
                    </a:ln>
                  </pic:spPr>
                </pic:pic>
              </a:graphicData>
            </a:graphic>
          </wp:inline>
        </w:drawing>
      </w:r>
    </w:p>
    <w:p w14:paraId="281C0F00" w14:textId="77777777" w:rsidR="00762438" w:rsidRDefault="00762438">
      <w:pPr>
        <w:jc w:val="center"/>
        <w:rPr>
          <w:b/>
          <w:szCs w:val="24"/>
          <w:lang w:eastAsia="en-GB"/>
        </w:rPr>
      </w:pPr>
    </w:p>
    <w:p w14:paraId="281C0F01" w14:textId="77777777" w:rsidR="00762438" w:rsidRDefault="00D068CE">
      <w:pPr>
        <w:jc w:val="center"/>
        <w:rPr>
          <w:b/>
          <w:szCs w:val="24"/>
          <w:lang w:eastAsia="en-GB"/>
        </w:rPr>
      </w:pPr>
      <w:r>
        <w:rPr>
          <w:b/>
          <w:szCs w:val="24"/>
          <w:lang w:eastAsia="en-GB"/>
        </w:rPr>
        <w:t xml:space="preserve">VALSTYBĖS TARNYBOS DEPARTAMENTO </w:t>
      </w:r>
    </w:p>
    <w:p w14:paraId="281C0F02" w14:textId="77777777" w:rsidR="00762438" w:rsidRDefault="00D068CE">
      <w:pPr>
        <w:jc w:val="center"/>
        <w:rPr>
          <w:b/>
          <w:szCs w:val="24"/>
          <w:lang w:eastAsia="en-GB"/>
        </w:rPr>
      </w:pPr>
      <w:r>
        <w:rPr>
          <w:b/>
          <w:szCs w:val="24"/>
          <w:lang w:eastAsia="en-GB"/>
        </w:rPr>
        <w:t>PRIE LIETUVOS RESPUBLIKOS VIDAUS REIKALŲ MINISTERIJOS</w:t>
      </w:r>
    </w:p>
    <w:p w14:paraId="281C0F03" w14:textId="77777777" w:rsidR="00762438" w:rsidRDefault="00D068CE">
      <w:pPr>
        <w:jc w:val="center"/>
        <w:rPr>
          <w:b/>
          <w:szCs w:val="24"/>
          <w:lang w:eastAsia="en-GB"/>
        </w:rPr>
      </w:pPr>
      <w:r>
        <w:rPr>
          <w:b/>
          <w:szCs w:val="24"/>
          <w:lang w:eastAsia="en-GB"/>
        </w:rPr>
        <w:t>DIREKTORIUS</w:t>
      </w:r>
    </w:p>
    <w:p w14:paraId="281C0F04" w14:textId="77777777" w:rsidR="00762438" w:rsidRDefault="00762438">
      <w:pPr>
        <w:ind w:right="425"/>
        <w:jc w:val="center"/>
        <w:rPr>
          <w:b/>
          <w:szCs w:val="24"/>
          <w:lang w:eastAsia="en-GB"/>
        </w:rPr>
      </w:pPr>
    </w:p>
    <w:p w14:paraId="281C0F05" w14:textId="77777777" w:rsidR="00762438" w:rsidRDefault="00D068CE">
      <w:pPr>
        <w:jc w:val="center"/>
        <w:rPr>
          <w:b/>
          <w:caps/>
          <w:color w:val="000000"/>
          <w:szCs w:val="24"/>
          <w:lang w:eastAsia="en-GB"/>
        </w:rPr>
      </w:pPr>
      <w:r>
        <w:rPr>
          <w:b/>
          <w:caps/>
          <w:color w:val="000000"/>
          <w:szCs w:val="24"/>
          <w:lang w:eastAsia="en-GB"/>
        </w:rPr>
        <w:t>įsakymas</w:t>
      </w:r>
    </w:p>
    <w:p w14:paraId="281C0F06" w14:textId="77777777" w:rsidR="00762438" w:rsidRDefault="00D068CE">
      <w:pPr>
        <w:jc w:val="center"/>
        <w:rPr>
          <w:b/>
          <w:caps/>
          <w:szCs w:val="24"/>
          <w:lang w:eastAsia="en-GB"/>
        </w:rPr>
      </w:pPr>
      <w:r>
        <w:rPr>
          <w:b/>
          <w:bCs/>
          <w:szCs w:val="24"/>
          <w:lang w:eastAsia="en-GB"/>
        </w:rPr>
        <w:t xml:space="preserve">DĖL </w:t>
      </w:r>
      <w:r>
        <w:rPr>
          <w:b/>
          <w:caps/>
          <w:szCs w:val="24"/>
          <w:lang w:eastAsia="en-GB"/>
        </w:rPr>
        <w:t>Pretendentų vertinimo komisijoje, naudojant Telekomunikacijų galinius įrenginius, tvarkos aprašO PATVIRTINIMO</w:t>
      </w:r>
    </w:p>
    <w:p w14:paraId="281C0F08" w14:textId="77777777" w:rsidR="00762438" w:rsidRDefault="00762438">
      <w:pPr>
        <w:ind w:right="425"/>
        <w:jc w:val="center"/>
        <w:rPr>
          <w:szCs w:val="24"/>
          <w:lang w:eastAsia="en-GB"/>
        </w:rPr>
      </w:pPr>
    </w:p>
    <w:p w14:paraId="281C0F09" w14:textId="1E113DB0" w:rsidR="00762438" w:rsidRDefault="00D068CE">
      <w:pPr>
        <w:jc w:val="center"/>
        <w:rPr>
          <w:color w:val="000000"/>
          <w:szCs w:val="24"/>
          <w:lang w:eastAsia="en-GB"/>
        </w:rPr>
      </w:pPr>
      <w:r>
        <w:rPr>
          <w:color w:val="000000"/>
          <w:szCs w:val="24"/>
          <w:lang w:eastAsia="en-GB"/>
        </w:rPr>
        <w:t>2019 m. kovo 28 d. Nr. 27V-63</w:t>
      </w:r>
    </w:p>
    <w:p w14:paraId="281C0F0A" w14:textId="77777777" w:rsidR="00762438" w:rsidRDefault="00D068CE">
      <w:pPr>
        <w:jc w:val="center"/>
        <w:rPr>
          <w:color w:val="000000"/>
          <w:szCs w:val="24"/>
          <w:lang w:eastAsia="en-GB"/>
        </w:rPr>
      </w:pPr>
      <w:r>
        <w:rPr>
          <w:color w:val="000000"/>
          <w:szCs w:val="24"/>
          <w:lang w:eastAsia="en-GB"/>
        </w:rPr>
        <w:t>Vilnius</w:t>
      </w:r>
    </w:p>
    <w:p w14:paraId="281C0F0B" w14:textId="77777777" w:rsidR="00762438" w:rsidRDefault="00762438">
      <w:pPr>
        <w:tabs>
          <w:tab w:val="left" w:pos="851"/>
        </w:tabs>
        <w:spacing w:line="276" w:lineRule="auto"/>
        <w:ind w:firstLine="567"/>
        <w:jc w:val="both"/>
        <w:rPr>
          <w:spacing w:val="100"/>
          <w:szCs w:val="24"/>
          <w:lang w:eastAsia="en-GB"/>
        </w:rPr>
      </w:pPr>
    </w:p>
    <w:p w14:paraId="167858AA" w14:textId="77777777" w:rsidR="00D068CE" w:rsidRDefault="00D068CE">
      <w:pPr>
        <w:tabs>
          <w:tab w:val="left" w:pos="851"/>
        </w:tabs>
        <w:spacing w:line="276" w:lineRule="auto"/>
        <w:ind w:firstLine="567"/>
        <w:jc w:val="both"/>
        <w:rPr>
          <w:spacing w:val="100"/>
          <w:szCs w:val="24"/>
          <w:lang w:eastAsia="en-GB"/>
        </w:rPr>
      </w:pPr>
    </w:p>
    <w:p w14:paraId="281C0F0C" w14:textId="77777777" w:rsidR="00762438" w:rsidRDefault="00D068CE">
      <w:pPr>
        <w:spacing w:line="276" w:lineRule="auto"/>
        <w:ind w:firstLine="709"/>
        <w:jc w:val="both"/>
        <w:rPr>
          <w:color w:val="000000"/>
          <w:szCs w:val="24"/>
          <w:lang w:eastAsia="en-GB"/>
        </w:rPr>
      </w:pPr>
      <w:r>
        <w:rPr>
          <w:color w:val="000000"/>
          <w:szCs w:val="24"/>
          <w:lang w:eastAsia="en-GB"/>
        </w:rPr>
        <w:t xml:space="preserve">Vadovaudamasis Lietuvos Respublikos valstybės tarnybos įstatymo 11 straipsnio 1 dalimi, Priėmimo į valstybės tarnautojo pareigas organizavimo tvarkos aprašo, patvirtinto Lietuvos Respublikos Vyriausybės 2018 </w:t>
      </w:r>
      <w:r>
        <w:rPr>
          <w:color w:val="000000"/>
          <w:szCs w:val="24"/>
          <w:lang w:eastAsia="en-GB"/>
        </w:rPr>
        <w:t>m. lapkričio 28 d. nutarimu Nr. 1176 „Dėl Lietuvos Respublikos valstybės tarnybos įstatymo įgyvendinimo“, 32 ir 42 punktais,</w:t>
      </w:r>
    </w:p>
    <w:p w14:paraId="281C0F10" w14:textId="59344DFA" w:rsidR="00762438" w:rsidRDefault="00D068CE" w:rsidP="00D068CE">
      <w:pPr>
        <w:spacing w:line="276" w:lineRule="auto"/>
        <w:ind w:firstLine="709"/>
        <w:jc w:val="both"/>
        <w:rPr>
          <w:color w:val="000000"/>
          <w:szCs w:val="24"/>
          <w:lang w:eastAsia="en-GB"/>
        </w:rPr>
      </w:pPr>
      <w:r>
        <w:rPr>
          <w:color w:val="000000"/>
          <w:szCs w:val="24"/>
          <w:lang w:eastAsia="en-GB"/>
        </w:rPr>
        <w:t>t v i r t i n u Pretendentų vertinimo komisijoje, naudojant telekomunikacijų galinius įrenginius, tvarkos aprašą (pridedama).</w:t>
      </w:r>
    </w:p>
    <w:p w14:paraId="3AF91B42" w14:textId="77777777" w:rsidR="00D068CE" w:rsidRDefault="00D068CE">
      <w:pPr>
        <w:spacing w:line="276" w:lineRule="auto"/>
        <w:jc w:val="both"/>
      </w:pPr>
    </w:p>
    <w:p w14:paraId="2CFC6B5E" w14:textId="77777777" w:rsidR="00D068CE" w:rsidRDefault="00D068CE">
      <w:pPr>
        <w:spacing w:line="276" w:lineRule="auto"/>
        <w:jc w:val="both"/>
      </w:pPr>
    </w:p>
    <w:p w14:paraId="6AAFC5EC" w14:textId="77777777" w:rsidR="00D068CE" w:rsidRDefault="00D068CE">
      <w:pPr>
        <w:spacing w:line="276" w:lineRule="auto"/>
        <w:jc w:val="both"/>
      </w:pPr>
    </w:p>
    <w:p w14:paraId="281C0F25" w14:textId="41C2CBA9" w:rsidR="00762438" w:rsidRDefault="00D068CE" w:rsidP="00D068CE">
      <w:pPr>
        <w:spacing w:line="276" w:lineRule="auto"/>
        <w:jc w:val="both"/>
        <w:rPr>
          <w:szCs w:val="24"/>
          <w:lang w:eastAsia="en-GB"/>
        </w:rPr>
      </w:pPr>
      <w:r>
        <w:rPr>
          <w:color w:val="000000"/>
          <w:szCs w:val="24"/>
          <w:lang w:eastAsia="en-GB"/>
        </w:rPr>
        <w:t xml:space="preserve">Direktorius </w:t>
      </w:r>
      <w:r>
        <w:rPr>
          <w:color w:val="000000"/>
          <w:szCs w:val="24"/>
          <w:lang w:eastAsia="en-GB"/>
        </w:rPr>
        <w:tab/>
      </w:r>
      <w:r>
        <w:rPr>
          <w:color w:val="000000"/>
          <w:szCs w:val="24"/>
          <w:lang w:eastAsia="en-GB"/>
        </w:rPr>
        <w:tab/>
      </w:r>
      <w:r>
        <w:rPr>
          <w:color w:val="000000"/>
          <w:szCs w:val="24"/>
          <w:lang w:eastAsia="en-GB"/>
        </w:rPr>
        <w:tab/>
      </w:r>
      <w:r>
        <w:rPr>
          <w:color w:val="000000"/>
          <w:szCs w:val="24"/>
          <w:lang w:eastAsia="en-GB"/>
        </w:rPr>
        <w:tab/>
      </w:r>
      <w:r>
        <w:rPr>
          <w:color w:val="000000"/>
          <w:szCs w:val="24"/>
          <w:lang w:eastAsia="en-GB"/>
        </w:rPr>
        <w:tab/>
      </w:r>
      <w:r>
        <w:rPr>
          <w:color w:val="000000"/>
          <w:szCs w:val="24"/>
          <w:lang w:eastAsia="en-GB"/>
        </w:rPr>
        <w:tab/>
      </w:r>
      <w:r>
        <w:rPr>
          <w:color w:val="000000"/>
          <w:szCs w:val="24"/>
          <w:lang w:eastAsia="en-GB"/>
        </w:rPr>
        <w:tab/>
      </w:r>
      <w:r>
        <w:rPr>
          <w:color w:val="000000"/>
          <w:szCs w:val="24"/>
          <w:lang w:eastAsia="en-GB"/>
        </w:rPr>
        <w:tab/>
      </w:r>
      <w:r>
        <w:rPr>
          <w:color w:val="000000"/>
          <w:szCs w:val="24"/>
          <w:lang w:eastAsia="en-GB"/>
        </w:rPr>
        <w:tab/>
        <w:t xml:space="preserve">        Gediminas Miškinis</w:t>
      </w:r>
    </w:p>
    <w:p w14:paraId="035E700F" w14:textId="77777777" w:rsidR="00D068CE" w:rsidRDefault="00D068CE">
      <w:pPr>
        <w:ind w:left="3806" w:firstLine="1296"/>
        <w:sectPr w:rsidR="00D068CE">
          <w:headerReference w:type="even" r:id="rId9"/>
          <w:headerReference w:type="default" r:id="rId10"/>
          <w:footerReference w:type="even" r:id="rId11"/>
          <w:footerReference w:type="default" r:id="rId12"/>
          <w:headerReference w:type="first" r:id="rId13"/>
          <w:footerReference w:type="first" r:id="rId14"/>
          <w:pgSz w:w="11906" w:h="16838"/>
          <w:pgMar w:top="709" w:right="567" w:bottom="1134" w:left="1701" w:header="567" w:footer="567" w:gutter="0"/>
          <w:pgNumType w:start="1"/>
          <w:cols w:space="720"/>
          <w:titlePg/>
        </w:sectPr>
      </w:pPr>
    </w:p>
    <w:p w14:paraId="281C0F26" w14:textId="3922B3F4" w:rsidR="00762438" w:rsidRDefault="00D068CE">
      <w:pPr>
        <w:ind w:left="3806" w:firstLine="1296"/>
        <w:rPr>
          <w:szCs w:val="24"/>
          <w:lang w:eastAsia="en-GB"/>
        </w:rPr>
      </w:pPr>
      <w:r>
        <w:rPr>
          <w:szCs w:val="24"/>
          <w:lang w:eastAsia="en-GB"/>
        </w:rPr>
        <w:lastRenderedPageBreak/>
        <w:t>PATVIRTINTA</w:t>
      </w:r>
    </w:p>
    <w:p w14:paraId="281C0F27" w14:textId="77777777" w:rsidR="00762438" w:rsidRDefault="00D068CE">
      <w:pPr>
        <w:ind w:left="5102"/>
        <w:rPr>
          <w:szCs w:val="24"/>
          <w:lang w:eastAsia="en-GB"/>
        </w:rPr>
      </w:pPr>
      <w:r>
        <w:rPr>
          <w:szCs w:val="24"/>
          <w:lang w:eastAsia="en-GB"/>
        </w:rPr>
        <w:t xml:space="preserve">Valstybės tarnybos departamento prie </w:t>
      </w:r>
    </w:p>
    <w:p w14:paraId="281C0F28" w14:textId="77777777" w:rsidR="00762438" w:rsidRDefault="00D068CE">
      <w:pPr>
        <w:ind w:left="5102"/>
        <w:rPr>
          <w:szCs w:val="24"/>
          <w:lang w:eastAsia="en-GB"/>
        </w:rPr>
      </w:pPr>
      <w:r>
        <w:rPr>
          <w:szCs w:val="24"/>
          <w:lang w:eastAsia="en-GB"/>
        </w:rPr>
        <w:t xml:space="preserve">Lietuvos Respublikos vidaus </w:t>
      </w:r>
      <w:r>
        <w:rPr>
          <w:szCs w:val="24"/>
          <w:lang w:eastAsia="en-GB"/>
        </w:rPr>
        <w:t>reikalų ministerijos direktoriaus</w:t>
      </w:r>
    </w:p>
    <w:p w14:paraId="281C0F29" w14:textId="159945CA" w:rsidR="00762438" w:rsidRDefault="00D068CE">
      <w:pPr>
        <w:ind w:left="4382" w:firstLine="720"/>
        <w:rPr>
          <w:szCs w:val="24"/>
          <w:lang w:eastAsia="en-GB"/>
        </w:rPr>
      </w:pPr>
      <w:r>
        <w:rPr>
          <w:szCs w:val="24"/>
          <w:lang w:eastAsia="en-GB"/>
        </w:rPr>
        <w:t>2019 m. kovo 28</w:t>
      </w:r>
      <w:r>
        <w:rPr>
          <w:szCs w:val="24"/>
          <w:lang w:eastAsia="en-GB"/>
        </w:rPr>
        <w:t xml:space="preserve"> d. įsakymu Nr. 27V-63</w:t>
      </w:r>
    </w:p>
    <w:p w14:paraId="281C0F2A" w14:textId="77777777" w:rsidR="00762438" w:rsidRDefault="00762438">
      <w:pPr>
        <w:jc w:val="center"/>
        <w:rPr>
          <w:szCs w:val="24"/>
          <w:lang w:eastAsia="en-GB"/>
        </w:rPr>
      </w:pPr>
    </w:p>
    <w:p w14:paraId="281C0F2B" w14:textId="77777777" w:rsidR="00762438" w:rsidRDefault="00762438">
      <w:pPr>
        <w:jc w:val="center"/>
        <w:rPr>
          <w:szCs w:val="24"/>
          <w:lang w:eastAsia="en-GB"/>
        </w:rPr>
      </w:pPr>
    </w:p>
    <w:p w14:paraId="281C0F2C" w14:textId="77777777" w:rsidR="00762438" w:rsidRDefault="00D068CE">
      <w:pPr>
        <w:jc w:val="center"/>
        <w:rPr>
          <w:b/>
          <w:caps/>
          <w:szCs w:val="24"/>
          <w:lang w:eastAsia="en-GB"/>
        </w:rPr>
      </w:pPr>
      <w:r>
        <w:rPr>
          <w:b/>
          <w:caps/>
          <w:szCs w:val="24"/>
          <w:lang w:eastAsia="en-GB"/>
        </w:rPr>
        <w:t>Pretendentų vertinimo komisijoje, naudojant Telekomunikacijų galinius įrenginius, tvarkos aprašas</w:t>
      </w:r>
    </w:p>
    <w:p w14:paraId="281C0F2D" w14:textId="77777777" w:rsidR="00762438" w:rsidRDefault="00762438">
      <w:pPr>
        <w:ind w:firstLine="567"/>
        <w:jc w:val="both"/>
        <w:rPr>
          <w:szCs w:val="24"/>
          <w:lang w:eastAsia="en-GB"/>
        </w:rPr>
      </w:pPr>
    </w:p>
    <w:p w14:paraId="281C0F2E" w14:textId="77777777" w:rsidR="00762438" w:rsidRDefault="00762438">
      <w:pPr>
        <w:ind w:firstLine="567"/>
        <w:jc w:val="both"/>
        <w:rPr>
          <w:szCs w:val="24"/>
          <w:lang w:eastAsia="en-GB"/>
        </w:rPr>
      </w:pPr>
    </w:p>
    <w:p w14:paraId="281C0F2F" w14:textId="77777777" w:rsidR="00762438" w:rsidRDefault="00D068CE">
      <w:pPr>
        <w:ind w:left="360"/>
        <w:jc w:val="center"/>
        <w:rPr>
          <w:b/>
          <w:szCs w:val="24"/>
          <w:lang w:eastAsia="en-GB"/>
        </w:rPr>
      </w:pPr>
      <w:r>
        <w:rPr>
          <w:b/>
          <w:szCs w:val="24"/>
          <w:lang w:eastAsia="en-GB"/>
        </w:rPr>
        <w:t>I</w:t>
      </w:r>
      <w:r>
        <w:rPr>
          <w:b/>
          <w:szCs w:val="24"/>
          <w:lang w:eastAsia="en-GB"/>
        </w:rPr>
        <w:t xml:space="preserve"> SKYRIUS</w:t>
      </w:r>
    </w:p>
    <w:p w14:paraId="281C0F30" w14:textId="77777777" w:rsidR="00762438" w:rsidRDefault="00D068CE">
      <w:pPr>
        <w:ind w:left="360"/>
        <w:jc w:val="center"/>
        <w:rPr>
          <w:b/>
          <w:szCs w:val="24"/>
          <w:lang w:eastAsia="en-GB"/>
        </w:rPr>
      </w:pPr>
      <w:r>
        <w:rPr>
          <w:b/>
          <w:szCs w:val="24"/>
          <w:lang w:eastAsia="en-GB"/>
        </w:rPr>
        <w:t>BENDROSIOS NUOSTATOS</w:t>
      </w:r>
    </w:p>
    <w:p w14:paraId="281C0F31" w14:textId="77777777" w:rsidR="00762438" w:rsidRDefault="00762438">
      <w:pPr>
        <w:ind w:left="360" w:firstLine="62"/>
        <w:jc w:val="center"/>
        <w:rPr>
          <w:b/>
          <w:szCs w:val="24"/>
          <w:lang w:eastAsia="en-GB"/>
        </w:rPr>
      </w:pPr>
    </w:p>
    <w:p w14:paraId="281C0F32" w14:textId="77777777" w:rsidR="00762438" w:rsidRDefault="00D068CE">
      <w:pPr>
        <w:ind w:firstLine="567"/>
        <w:jc w:val="both"/>
        <w:rPr>
          <w:szCs w:val="24"/>
          <w:lang w:eastAsia="en-GB"/>
        </w:rPr>
      </w:pPr>
      <w:r>
        <w:rPr>
          <w:szCs w:val="24"/>
          <w:lang w:eastAsia="en-GB"/>
        </w:rPr>
        <w:t>1</w:t>
      </w:r>
      <w:r>
        <w:rPr>
          <w:szCs w:val="24"/>
          <w:lang w:eastAsia="en-GB"/>
        </w:rPr>
        <w:t xml:space="preserve">. Pretendentų vertinimo komisijoje, naudojant telekomunikacijų galinius įrenginius, tvarkos aprašas (toliau – Aprašas) nustato pretendentų vertinimo komisijoje, naudojant telekomunikacijų galinius įrenginius (toliau </w:t>
      </w:r>
      <w:r>
        <w:rPr>
          <w:color w:val="000000"/>
          <w:szCs w:val="24"/>
          <w:lang w:eastAsia="en-GB"/>
        </w:rPr>
        <w:t xml:space="preserve">– </w:t>
      </w:r>
      <w:r>
        <w:rPr>
          <w:szCs w:val="24"/>
          <w:lang w:eastAsia="en-GB"/>
        </w:rPr>
        <w:t>TGĮ), organizavimą ir vykdymą, TGĮ tai</w:t>
      </w:r>
      <w:r>
        <w:rPr>
          <w:szCs w:val="24"/>
          <w:lang w:eastAsia="en-GB"/>
        </w:rPr>
        <w:t xml:space="preserve">komus reikalavimus, TGĮ testavimą ir veiksmus TGĮ techninių sutrikimų atvejais. </w:t>
      </w:r>
    </w:p>
    <w:p w14:paraId="281C0F33" w14:textId="77777777" w:rsidR="00762438" w:rsidRDefault="00D068CE">
      <w:pPr>
        <w:ind w:firstLine="560"/>
        <w:jc w:val="both"/>
        <w:rPr>
          <w:szCs w:val="24"/>
          <w:lang w:eastAsia="en-GB"/>
        </w:rPr>
      </w:pPr>
      <w:r>
        <w:rPr>
          <w:szCs w:val="24"/>
          <w:lang w:eastAsia="en-GB"/>
        </w:rPr>
        <w:t>2</w:t>
      </w:r>
      <w:r>
        <w:rPr>
          <w:szCs w:val="24"/>
          <w:lang w:eastAsia="en-GB"/>
        </w:rPr>
        <w:t>. Apraše vartojamos sąvokos apibrėžtos Lietuvos Respublikos valstybės tarnybos įstatyme bei Priėmimo į valstybės tarnautojo pareigas organizavimo tvarkos apraše, patvirti</w:t>
      </w:r>
      <w:r>
        <w:rPr>
          <w:szCs w:val="24"/>
          <w:lang w:eastAsia="en-GB"/>
        </w:rPr>
        <w:t>ntame Lietuvos Respublikos Vyriausybės 2018 m. lapkričio 28 d. nutarimu Nr. 1176 „Dėl Lietuvos Respublikos valstybės tarnybos įstatymo įgyvendinimo“ (toliau – Priėmimo tvarkos aprašas).</w:t>
      </w:r>
    </w:p>
    <w:p w14:paraId="281C0F34" w14:textId="77777777" w:rsidR="00762438" w:rsidRDefault="00D068CE">
      <w:pPr>
        <w:ind w:firstLine="567"/>
        <w:jc w:val="center"/>
        <w:rPr>
          <w:szCs w:val="24"/>
          <w:lang w:eastAsia="en-GB"/>
        </w:rPr>
      </w:pPr>
    </w:p>
    <w:p w14:paraId="281C0F35" w14:textId="77777777" w:rsidR="00762438" w:rsidRDefault="00D068CE">
      <w:pPr>
        <w:ind w:firstLine="567"/>
        <w:jc w:val="center"/>
        <w:rPr>
          <w:b/>
          <w:szCs w:val="24"/>
          <w:lang w:eastAsia="en-GB"/>
        </w:rPr>
      </w:pPr>
      <w:r>
        <w:rPr>
          <w:b/>
          <w:szCs w:val="24"/>
          <w:lang w:eastAsia="en-GB"/>
        </w:rPr>
        <w:t>II</w:t>
      </w:r>
      <w:r>
        <w:rPr>
          <w:b/>
          <w:szCs w:val="24"/>
          <w:lang w:eastAsia="en-GB"/>
        </w:rPr>
        <w:t xml:space="preserve"> SKYRIUS</w:t>
      </w:r>
    </w:p>
    <w:p w14:paraId="281C0F36" w14:textId="77777777" w:rsidR="00762438" w:rsidRDefault="00D068CE">
      <w:pPr>
        <w:ind w:firstLine="567"/>
        <w:jc w:val="center"/>
        <w:rPr>
          <w:b/>
          <w:szCs w:val="24"/>
          <w:lang w:eastAsia="en-GB"/>
        </w:rPr>
      </w:pPr>
      <w:r>
        <w:rPr>
          <w:b/>
          <w:szCs w:val="24"/>
          <w:lang w:eastAsia="en-GB"/>
        </w:rPr>
        <w:t xml:space="preserve">TGĮ TAIKOMI REIKALAVIMAI IR TGĮ TESTAVIMAS </w:t>
      </w:r>
    </w:p>
    <w:p w14:paraId="281C0F37" w14:textId="77777777" w:rsidR="00762438" w:rsidRDefault="00762438">
      <w:pPr>
        <w:ind w:firstLine="567"/>
        <w:jc w:val="center"/>
        <w:rPr>
          <w:b/>
          <w:szCs w:val="24"/>
          <w:lang w:eastAsia="en-GB"/>
        </w:rPr>
      </w:pPr>
    </w:p>
    <w:p w14:paraId="281C0F38" w14:textId="77777777" w:rsidR="00762438" w:rsidRDefault="00D068CE">
      <w:pPr>
        <w:ind w:firstLine="567"/>
        <w:jc w:val="both"/>
        <w:rPr>
          <w:color w:val="000000"/>
          <w:szCs w:val="24"/>
          <w:lang w:eastAsia="en-GB"/>
        </w:rPr>
      </w:pPr>
      <w:r>
        <w:rPr>
          <w:szCs w:val="24"/>
          <w:lang w:eastAsia="en-GB"/>
        </w:rPr>
        <w:t>3</w:t>
      </w:r>
      <w:r>
        <w:rPr>
          <w:szCs w:val="24"/>
          <w:lang w:eastAsia="en-GB"/>
        </w:rPr>
        <w:t xml:space="preserve">. </w:t>
      </w:r>
      <w:r>
        <w:rPr>
          <w:szCs w:val="24"/>
          <w:lang w:eastAsia="en-GB"/>
        </w:rPr>
        <w:t>TGI taikomi minimalūs techniniai reikalavimai</w:t>
      </w:r>
      <w:r>
        <w:rPr>
          <w:color w:val="000000"/>
          <w:szCs w:val="24"/>
          <w:lang w:eastAsia="en-GB"/>
        </w:rPr>
        <w:t xml:space="preserve"> nustatyti Aprašo 1 priede. </w:t>
      </w:r>
    </w:p>
    <w:p w14:paraId="281C0F39" w14:textId="77777777" w:rsidR="00762438" w:rsidRDefault="00D068CE">
      <w:pPr>
        <w:ind w:firstLine="567"/>
        <w:jc w:val="both"/>
        <w:rPr>
          <w:szCs w:val="24"/>
          <w:lang w:eastAsia="en-GB"/>
        </w:rPr>
      </w:pPr>
      <w:r>
        <w:rPr>
          <w:color w:val="000000"/>
          <w:szCs w:val="24"/>
          <w:lang w:eastAsia="en-GB"/>
        </w:rPr>
        <w:t>4</w:t>
      </w:r>
      <w:r>
        <w:rPr>
          <w:color w:val="000000"/>
          <w:szCs w:val="24"/>
          <w:lang w:eastAsia="en-GB"/>
        </w:rPr>
        <w:t xml:space="preserve">. </w:t>
      </w:r>
      <w:r>
        <w:rPr>
          <w:szCs w:val="24"/>
          <w:lang w:eastAsia="en-GB"/>
        </w:rPr>
        <w:t xml:space="preserve">Visi pretendentų vertinimo komisijoje dalyvaujantys asmenys, esantys skirtingų pretendentų vertinimo komisijoje vietų patalpose, turi matyti patalpą, kurioje yra kiti </w:t>
      </w:r>
      <w:r>
        <w:rPr>
          <w:szCs w:val="24"/>
          <w:lang w:eastAsia="en-GB"/>
        </w:rPr>
        <w:t>pretendentų vertinime komisijoje dalyvaujantys asmenys, vaizdą ir girdėti vienas kitam žodžiu pateikiamą informaciją.</w:t>
      </w:r>
    </w:p>
    <w:p w14:paraId="281C0F3A" w14:textId="77777777" w:rsidR="00762438" w:rsidRDefault="00D068CE">
      <w:pPr>
        <w:ind w:firstLine="560"/>
        <w:jc w:val="both"/>
        <w:rPr>
          <w:szCs w:val="24"/>
          <w:lang w:eastAsia="en-GB"/>
        </w:rPr>
      </w:pPr>
      <w:r>
        <w:rPr>
          <w:szCs w:val="24"/>
          <w:lang w:eastAsia="en-GB"/>
        </w:rPr>
        <w:t>5</w:t>
      </w:r>
      <w:r>
        <w:rPr>
          <w:szCs w:val="24"/>
          <w:lang w:eastAsia="en-GB"/>
        </w:rPr>
        <w:t xml:space="preserve">. TGĮ, naudojami pretendentų vertinimo komisijoje, turi būti ištestuoti ir patikrintas jų tinkamumas, įvertinant atkuriamo vaizdo ir </w:t>
      </w:r>
      <w:r>
        <w:rPr>
          <w:szCs w:val="24"/>
          <w:lang w:eastAsia="en-GB"/>
        </w:rPr>
        <w:t xml:space="preserve">garso kokybę: </w:t>
      </w:r>
    </w:p>
    <w:p w14:paraId="281C0F3B" w14:textId="77777777" w:rsidR="00762438" w:rsidRDefault="00D068CE">
      <w:pPr>
        <w:ind w:firstLine="560"/>
        <w:jc w:val="both"/>
        <w:rPr>
          <w:szCs w:val="24"/>
          <w:lang w:eastAsia="en-GB"/>
        </w:rPr>
      </w:pPr>
      <w:r>
        <w:rPr>
          <w:szCs w:val="24"/>
          <w:lang w:eastAsia="en-GB"/>
        </w:rPr>
        <w:t>5.1</w:t>
      </w:r>
      <w:r>
        <w:rPr>
          <w:szCs w:val="24"/>
          <w:lang w:eastAsia="en-GB"/>
        </w:rPr>
        <w:t>. Valstybės tarnybos departamento prie Lietuvos Respublikos vidaus reikalų ministerijos (toliau – Valstybės tarnybos departamentas) ir valstybės ar savivaldybių institucijos ar įstaigos, kuriose bus vykdomas pretendentų vertinimas komis</w:t>
      </w:r>
      <w:r>
        <w:rPr>
          <w:szCs w:val="24"/>
          <w:lang w:eastAsia="en-GB"/>
        </w:rPr>
        <w:t>ijoje, naudojant TGĮ (toliau – įstaiga), atsakingi valstybės tarnautojai ar darbuotojai, dirbantys pagal darbo sutartį (toliau – darbuotojai), vykdantys techninę TGĮ priežiūrą pretendentų vertinimo komisijoje metu, ne vėliau kaip prieš 6 darbo dienas iki p</w:t>
      </w:r>
      <w:r>
        <w:rPr>
          <w:szCs w:val="24"/>
          <w:lang w:eastAsia="en-GB"/>
        </w:rPr>
        <w:t>retendentų vertinimo komisijoje pradžios turi ištestuoti numatomus naudoti TGĮ ir įvertinti TGĮ atkuriamo vaizdo ir garso kokybę. Jei šio testavimo metu fiksuojami techniniai sutrikimai, neatitikimai atkuriamo vaizdo ir garso kokybės reikalavimams, tai jie</w:t>
      </w:r>
      <w:r>
        <w:rPr>
          <w:szCs w:val="24"/>
          <w:lang w:eastAsia="en-GB"/>
        </w:rPr>
        <w:t xml:space="preserve"> turi būti pašalinti iki pretendentų vertinimo komisijoje pradžios.</w:t>
      </w:r>
    </w:p>
    <w:p w14:paraId="281C0F3C" w14:textId="77777777" w:rsidR="00762438" w:rsidRDefault="00D068CE">
      <w:pPr>
        <w:ind w:firstLine="567"/>
        <w:jc w:val="both"/>
        <w:rPr>
          <w:szCs w:val="24"/>
          <w:lang w:eastAsia="en-GB"/>
        </w:rPr>
      </w:pPr>
      <w:r>
        <w:rPr>
          <w:szCs w:val="24"/>
          <w:lang w:eastAsia="en-GB"/>
        </w:rPr>
        <w:t>5.</w:t>
      </w:r>
      <w:r>
        <w:rPr>
          <w:szCs w:val="24"/>
          <w:lang w:val="en-US" w:eastAsia="en-GB"/>
        </w:rPr>
        <w:t>2</w:t>
      </w:r>
      <w:r>
        <w:rPr>
          <w:szCs w:val="24"/>
          <w:lang w:eastAsia="en-GB"/>
        </w:rPr>
        <w:t xml:space="preserve">. Testavimas vykdomas Valstybės tarnybos departamento ir įstaigos darbo metu 9-12 arba 13-16 valandomis. </w:t>
      </w:r>
    </w:p>
    <w:p w14:paraId="281C0F3D" w14:textId="77777777" w:rsidR="00762438" w:rsidRDefault="00D068CE">
      <w:pPr>
        <w:ind w:firstLine="560"/>
        <w:jc w:val="both"/>
        <w:rPr>
          <w:szCs w:val="24"/>
          <w:lang w:eastAsia="en-GB"/>
        </w:rPr>
      </w:pPr>
      <w:r>
        <w:rPr>
          <w:szCs w:val="24"/>
          <w:lang w:eastAsia="en-GB"/>
        </w:rPr>
        <w:t>5.3</w:t>
      </w:r>
      <w:r>
        <w:rPr>
          <w:szCs w:val="24"/>
          <w:lang w:eastAsia="en-GB"/>
        </w:rPr>
        <w:t>. Pakartotinai TGĮ testuojami ne vėliau kaip likus 1 valandai iki pr</w:t>
      </w:r>
      <w:r>
        <w:rPr>
          <w:szCs w:val="24"/>
          <w:lang w:eastAsia="en-GB"/>
        </w:rPr>
        <w:t xml:space="preserve">etendentų vertinimo komisijoje pradžios. Jei šio testavimo metu fiksuojami techniniai sutrikimai, neatitikimai atkuriamo vaizdo ir garso kokybės reikalavimams, tai jie turi būti nedelsiant pašalinti iki pretendentų vertinimo komisijoje pradžios. Nepavykus </w:t>
      </w:r>
      <w:r>
        <w:rPr>
          <w:szCs w:val="24"/>
          <w:lang w:eastAsia="en-GB"/>
        </w:rPr>
        <w:t xml:space="preserve">šių sutrikimų pašalinti iki pretendentų vertinimo komisijoje pradžios, komisijos pirmininko sprendimu pretendentų vertinimo komisijoje pradžios laikas gali būti atidedamas nustačius naują pretendentų vertinimo komisijoje pradžios laiką (nekeičiant datos), </w:t>
      </w:r>
      <w:r>
        <w:rPr>
          <w:szCs w:val="24"/>
          <w:lang w:eastAsia="en-GB"/>
        </w:rPr>
        <w:t xml:space="preserve">atsižvelgiant į galimą nustatytų trūkumų šalinimo trukmę. Pretendentai ir stebėtojai, jei jie dalyvauja, informuojami apie nustatytą naują pretendentų vertinimo procedūrų pradžios laiką. </w:t>
      </w:r>
    </w:p>
    <w:p w14:paraId="281C0F3E" w14:textId="77777777" w:rsidR="00762438" w:rsidRDefault="00D068CE">
      <w:pPr>
        <w:rPr>
          <w:szCs w:val="24"/>
          <w:lang w:eastAsia="en-GB"/>
        </w:rPr>
      </w:pPr>
    </w:p>
    <w:p w14:paraId="281C0F3F" w14:textId="77777777" w:rsidR="00762438" w:rsidRDefault="00D068CE">
      <w:pPr>
        <w:ind w:firstLine="560"/>
        <w:jc w:val="center"/>
        <w:rPr>
          <w:b/>
          <w:szCs w:val="24"/>
          <w:lang w:eastAsia="en-GB"/>
        </w:rPr>
      </w:pPr>
      <w:r>
        <w:rPr>
          <w:b/>
          <w:szCs w:val="24"/>
          <w:lang w:eastAsia="en-GB"/>
        </w:rPr>
        <w:t>III</w:t>
      </w:r>
      <w:r>
        <w:rPr>
          <w:b/>
          <w:szCs w:val="24"/>
          <w:lang w:eastAsia="en-GB"/>
        </w:rPr>
        <w:t xml:space="preserve"> SKYRIUS</w:t>
      </w:r>
    </w:p>
    <w:p w14:paraId="281C0F40" w14:textId="77777777" w:rsidR="00762438" w:rsidRDefault="00D068CE">
      <w:pPr>
        <w:ind w:firstLine="560"/>
        <w:jc w:val="center"/>
        <w:rPr>
          <w:b/>
          <w:szCs w:val="24"/>
          <w:lang w:eastAsia="en-GB"/>
        </w:rPr>
      </w:pPr>
      <w:r>
        <w:rPr>
          <w:b/>
          <w:szCs w:val="24"/>
          <w:lang w:eastAsia="en-GB"/>
        </w:rPr>
        <w:t xml:space="preserve">PRETENDENTŲ VERTINIMO KOMISIJOJE , NAUDOJANT </w:t>
      </w:r>
      <w:r>
        <w:rPr>
          <w:b/>
          <w:szCs w:val="24"/>
          <w:lang w:eastAsia="en-GB"/>
        </w:rPr>
        <w:t>TGĮ, ORGANIZAVIMAS IR VYKDYMAS</w:t>
      </w:r>
    </w:p>
    <w:p w14:paraId="281C0F41" w14:textId="77777777" w:rsidR="00762438" w:rsidRDefault="00762438">
      <w:pPr>
        <w:ind w:firstLine="567"/>
        <w:jc w:val="both"/>
        <w:rPr>
          <w:szCs w:val="24"/>
          <w:lang w:eastAsia="en-GB"/>
        </w:rPr>
      </w:pPr>
    </w:p>
    <w:p w14:paraId="281C0F42" w14:textId="77777777" w:rsidR="00762438" w:rsidRDefault="00D068CE">
      <w:pPr>
        <w:ind w:firstLine="567"/>
        <w:jc w:val="both"/>
        <w:rPr>
          <w:szCs w:val="24"/>
          <w:lang w:eastAsia="en-GB"/>
        </w:rPr>
      </w:pPr>
      <w:r>
        <w:rPr>
          <w:szCs w:val="24"/>
          <w:lang w:eastAsia="en-GB"/>
        </w:rPr>
        <w:t>6</w:t>
      </w:r>
      <w:r>
        <w:rPr>
          <w:szCs w:val="24"/>
          <w:lang w:eastAsia="en-GB"/>
        </w:rPr>
        <w:t>. Pretendento vertinimas komisijoje, naudojant TGĮ, vykdomos vadovaujantis Priėmimo tvarkos aprašo nustatyta tvarka.</w:t>
      </w:r>
    </w:p>
    <w:p w14:paraId="281C0F43" w14:textId="77777777" w:rsidR="00762438" w:rsidRDefault="00D068CE">
      <w:pPr>
        <w:ind w:firstLine="567"/>
        <w:jc w:val="both"/>
        <w:rPr>
          <w:szCs w:val="24"/>
          <w:lang w:eastAsia="en-GB"/>
        </w:rPr>
      </w:pPr>
      <w:r>
        <w:rPr>
          <w:szCs w:val="24"/>
          <w:lang w:eastAsia="en-GB"/>
        </w:rPr>
        <w:t>7</w:t>
      </w:r>
      <w:r>
        <w:rPr>
          <w:szCs w:val="24"/>
          <w:lang w:eastAsia="en-GB"/>
        </w:rPr>
        <w:t>. Pretendentų vertinimo komisijoje metu komisijos nustatytų pretendentų vertinimo komisijoje viet</w:t>
      </w:r>
      <w:r>
        <w:rPr>
          <w:szCs w:val="24"/>
          <w:lang w:eastAsia="en-GB"/>
        </w:rPr>
        <w:t>ų patalpose gali būti tik pretendentų vertinimo komisijos nariai ir sekretorius, vertinami pretendentai, Priėmimo tvarkos aprašo nustatyta tvarka stebėtojo teisėmis dalyvaujantys asmenys (toliau – stebėtojai) ir atsakingi darbuotojai, vykdantys techninę TG</w:t>
      </w:r>
      <w:r>
        <w:rPr>
          <w:szCs w:val="24"/>
          <w:lang w:eastAsia="en-GB"/>
        </w:rPr>
        <w:t>Į priežiūrą.</w:t>
      </w:r>
    </w:p>
    <w:p w14:paraId="281C0F44" w14:textId="77777777" w:rsidR="00762438" w:rsidRDefault="00D068CE">
      <w:pPr>
        <w:ind w:firstLine="560"/>
        <w:jc w:val="both"/>
        <w:rPr>
          <w:szCs w:val="24"/>
          <w:lang w:eastAsia="en-GB"/>
        </w:rPr>
      </w:pPr>
      <w:r>
        <w:rPr>
          <w:szCs w:val="24"/>
          <w:lang w:eastAsia="en-GB"/>
        </w:rPr>
        <w:t>8</w:t>
      </w:r>
      <w:r>
        <w:rPr>
          <w:szCs w:val="24"/>
          <w:lang w:eastAsia="en-GB"/>
        </w:rPr>
        <w:t>. Valstybės tarnybos departamento ir įstaigos atsakingi darbuotojai, vykdantys techninę TGĮ priežiūrą, turi atlikti techninę TGĮ priežiūrą visos pretendentų vertinimo komisijoje procedūros metu ir, esant techniniams sutrikimams, juos nede</w:t>
      </w:r>
      <w:r>
        <w:rPr>
          <w:szCs w:val="24"/>
          <w:lang w:eastAsia="en-GB"/>
        </w:rPr>
        <w:t>lsiant šalinti.</w:t>
      </w:r>
    </w:p>
    <w:p w14:paraId="281C0F45" w14:textId="77777777" w:rsidR="00762438" w:rsidRDefault="00D068CE">
      <w:pPr>
        <w:ind w:firstLine="567"/>
        <w:jc w:val="both"/>
        <w:rPr>
          <w:szCs w:val="24"/>
          <w:lang w:eastAsia="en-GB"/>
        </w:rPr>
      </w:pPr>
      <w:r>
        <w:rPr>
          <w:szCs w:val="24"/>
          <w:lang w:eastAsia="en-GB"/>
        </w:rPr>
        <w:t>9</w:t>
      </w:r>
      <w:r>
        <w:rPr>
          <w:szCs w:val="24"/>
          <w:lang w:eastAsia="en-GB"/>
        </w:rPr>
        <w:t>. Jeigu komisijos sekretorius yra kitoje komisijos nustatytoje vietoje nei pretendentai ar stebėtojai, tai komisijos pirmininkas skiria kitą komisijos narį nustatyti pretendento ir (ar) stebėtojo asmens tapatybę, patikrinant pretendent</w:t>
      </w:r>
      <w:r>
        <w:rPr>
          <w:szCs w:val="24"/>
          <w:lang w:eastAsia="en-GB"/>
        </w:rPr>
        <w:t xml:space="preserve">o ir (ar) stebėtojo pateiktą galiojantį asmens tapatybę patvirtinantį dokumentą. Komisijos narys, patvirtinęs pretendento ir (ar) stebėtojo asmens tapatybę užpildo Asmens tapatybės patvirtinimo formą (Aprašo 2 priedas). </w:t>
      </w:r>
    </w:p>
    <w:p w14:paraId="281C0F46" w14:textId="77777777" w:rsidR="00762438" w:rsidRDefault="00D068CE">
      <w:pPr>
        <w:ind w:firstLine="560"/>
        <w:jc w:val="both"/>
        <w:rPr>
          <w:szCs w:val="24"/>
          <w:lang w:eastAsia="en-GB"/>
        </w:rPr>
      </w:pPr>
      <w:r>
        <w:rPr>
          <w:szCs w:val="24"/>
          <w:lang w:eastAsia="en-GB"/>
        </w:rPr>
        <w:t>10</w:t>
      </w:r>
      <w:r>
        <w:rPr>
          <w:szCs w:val="24"/>
          <w:lang w:eastAsia="en-GB"/>
        </w:rPr>
        <w:t>. Jeigu pagal komisijos sudar</w:t>
      </w:r>
      <w:r>
        <w:rPr>
          <w:szCs w:val="24"/>
          <w:lang w:eastAsia="en-GB"/>
        </w:rPr>
        <w:t>ytą vertinimo organizavimo planą pretendentai atlieka užduotis raštu, tai popieriniai pretendentų atsakymų lapai komisijos sekretoriaus arba komisijos pirmininko paskirto komisijos nario yra skaitmenizuojami ir elektroniniu formatu per komisijos sekretorių</w:t>
      </w:r>
      <w:r>
        <w:rPr>
          <w:szCs w:val="24"/>
          <w:lang w:eastAsia="en-GB"/>
        </w:rPr>
        <w:t xml:space="preserve"> arba komisijos pirmininko paskirtą komisijos narį perduodami kitiems komisijos nariams, esantiems kitoje komisijos nustatytoje pretendentų vertinimo komisijoje vietoje, tam, kad jie galėtų atlikti raštu atliktų užduočių įvertinimą. </w:t>
      </w:r>
    </w:p>
    <w:p w14:paraId="281C0F47" w14:textId="77777777" w:rsidR="00762438" w:rsidRDefault="00D068CE">
      <w:pPr>
        <w:ind w:firstLine="560"/>
        <w:jc w:val="both"/>
        <w:rPr>
          <w:szCs w:val="24"/>
          <w:lang w:eastAsia="en-GB"/>
        </w:rPr>
      </w:pPr>
      <w:r>
        <w:rPr>
          <w:szCs w:val="24"/>
          <w:lang w:eastAsia="en-GB"/>
        </w:rPr>
        <w:t>11</w:t>
      </w:r>
      <w:r>
        <w:rPr>
          <w:szCs w:val="24"/>
          <w:lang w:eastAsia="en-GB"/>
        </w:rPr>
        <w:t>. Komisijos nari</w:t>
      </w:r>
      <w:r>
        <w:rPr>
          <w:szCs w:val="24"/>
          <w:lang w:eastAsia="en-GB"/>
        </w:rPr>
        <w:t>ų, esančių kitoje komisijos nustatytoje pretendentų vertinimo komisijoje vietoje nei komisijos pirmininkas ir sekretorius, popierinės individualaus vertinimo lentelės komisijos pirmininko paskirto komisijos nario yra skaitmenizuojamos ir elektroniniu forma</w:t>
      </w:r>
      <w:r>
        <w:rPr>
          <w:szCs w:val="24"/>
          <w:lang w:eastAsia="en-GB"/>
        </w:rPr>
        <w:t xml:space="preserve">tu perduodamos komisijos sekretoriui, tam, kad būtų suskaičiuoti pretendentų vertinimo balai. </w:t>
      </w:r>
    </w:p>
    <w:p w14:paraId="281C0F48" w14:textId="77777777" w:rsidR="00762438" w:rsidRDefault="00D068CE">
      <w:pPr>
        <w:ind w:firstLine="560"/>
        <w:jc w:val="both"/>
        <w:rPr>
          <w:szCs w:val="24"/>
          <w:lang w:eastAsia="en-GB"/>
        </w:rPr>
      </w:pPr>
      <w:r>
        <w:rPr>
          <w:szCs w:val="24"/>
          <w:lang w:eastAsia="en-GB"/>
        </w:rPr>
        <w:t>12</w:t>
      </w:r>
      <w:r>
        <w:rPr>
          <w:szCs w:val="24"/>
          <w:lang w:eastAsia="en-GB"/>
        </w:rPr>
        <w:t>. Komisijos pirmininko paskirtas komisijos narys, esantis kitoje komisijos nustatytoje pretendentų vertinimo komisijoje vietoje nei komisijos pirmininkas i</w:t>
      </w:r>
      <w:r>
        <w:rPr>
          <w:szCs w:val="24"/>
          <w:lang w:eastAsia="en-GB"/>
        </w:rPr>
        <w:t>r sekretorius, Asmens tapatybės patvirtinimo (Aprašo 2 priedas), pretendentų raštu atliktų užduočių atsakymų ir komisijos narių individualaus vertinimo lentelių originalus ne vėliau kaip per 2 darbo dienas nuo pretendentų vertinimo komisijoje pabaigos turi</w:t>
      </w:r>
      <w:r>
        <w:rPr>
          <w:szCs w:val="24"/>
          <w:lang w:eastAsia="en-GB"/>
        </w:rPr>
        <w:t xml:space="preserve"> perduoti Valstybės tarnybos departamentui.</w:t>
      </w:r>
    </w:p>
    <w:p w14:paraId="281C0F49" w14:textId="77777777" w:rsidR="00762438" w:rsidRDefault="00D068CE">
      <w:pPr>
        <w:ind w:firstLine="560"/>
        <w:jc w:val="both"/>
        <w:rPr>
          <w:smallCaps/>
          <w:szCs w:val="24"/>
          <w:lang w:eastAsia="en-GB"/>
        </w:rPr>
      </w:pPr>
    </w:p>
    <w:p w14:paraId="281C0F4A" w14:textId="77777777" w:rsidR="00762438" w:rsidRDefault="00D068CE">
      <w:pPr>
        <w:ind w:firstLine="560"/>
        <w:jc w:val="center"/>
        <w:rPr>
          <w:b/>
          <w:szCs w:val="24"/>
          <w:lang w:eastAsia="en-GB"/>
        </w:rPr>
      </w:pPr>
      <w:r>
        <w:rPr>
          <w:b/>
          <w:szCs w:val="24"/>
          <w:lang w:eastAsia="en-GB"/>
        </w:rPr>
        <w:t>IV</w:t>
      </w:r>
      <w:r>
        <w:rPr>
          <w:b/>
          <w:szCs w:val="24"/>
          <w:lang w:eastAsia="en-GB"/>
        </w:rPr>
        <w:t xml:space="preserve"> SKYRIUS</w:t>
      </w:r>
    </w:p>
    <w:p w14:paraId="281C0F4B" w14:textId="77777777" w:rsidR="00762438" w:rsidRDefault="00D068CE">
      <w:pPr>
        <w:ind w:firstLine="567"/>
        <w:jc w:val="center"/>
        <w:rPr>
          <w:b/>
          <w:smallCaps/>
          <w:szCs w:val="24"/>
          <w:lang w:eastAsia="en-GB"/>
        </w:rPr>
      </w:pPr>
      <w:r>
        <w:rPr>
          <w:b/>
          <w:smallCaps/>
          <w:szCs w:val="24"/>
          <w:lang w:eastAsia="en-GB"/>
        </w:rPr>
        <w:t>VEIKSMAI TGĮ TECHNINIŲ SUTRIKIMŲ ATVEJAIS</w:t>
      </w:r>
    </w:p>
    <w:p w14:paraId="281C0F4C" w14:textId="77777777" w:rsidR="00762438" w:rsidRDefault="00762438">
      <w:pPr>
        <w:ind w:firstLine="567"/>
        <w:jc w:val="center"/>
        <w:rPr>
          <w:b/>
          <w:smallCaps/>
          <w:szCs w:val="24"/>
          <w:lang w:eastAsia="en-GB"/>
        </w:rPr>
      </w:pPr>
    </w:p>
    <w:p w14:paraId="281C0F4D" w14:textId="77777777" w:rsidR="00762438" w:rsidRDefault="00D068CE">
      <w:pPr>
        <w:ind w:firstLine="567"/>
        <w:jc w:val="both"/>
        <w:rPr>
          <w:szCs w:val="24"/>
          <w:lang w:eastAsia="en-GB"/>
        </w:rPr>
      </w:pPr>
      <w:r>
        <w:rPr>
          <w:szCs w:val="24"/>
          <w:lang w:eastAsia="en-GB"/>
        </w:rPr>
        <w:t>13</w:t>
      </w:r>
      <w:r>
        <w:rPr>
          <w:szCs w:val="24"/>
          <w:lang w:eastAsia="en-GB"/>
        </w:rPr>
        <w:t xml:space="preserve">. Jeigu nepavyksta pašalinti TGĮ techninių sutrikimų ir užtikrinti TGĮ atkuriamo vaizdo ir garso kokybės iki pretendentų vertinimo komisijoje </w:t>
      </w:r>
      <w:r>
        <w:rPr>
          <w:szCs w:val="24"/>
          <w:lang w:eastAsia="en-GB"/>
        </w:rPr>
        <w:t>pradžios arba nustatyto naujo pretendentų vertinimo komisijoje pradžios laiko, komisija nustato kitą pretendentų vertinimo komisijoje dieną, vadovaudamasis Priėmimo tvarkos aprašo nustatytais terminais dėl pretendentų ir stebėtojų informavimo apie pretende</w:t>
      </w:r>
      <w:r>
        <w:rPr>
          <w:szCs w:val="24"/>
          <w:lang w:eastAsia="en-GB"/>
        </w:rPr>
        <w:t>ntų vertinimo datą, laiką ir vietą.</w:t>
      </w:r>
    </w:p>
    <w:p w14:paraId="281C0F4E" w14:textId="77777777" w:rsidR="00762438" w:rsidRDefault="00D068CE">
      <w:pPr>
        <w:ind w:firstLine="567"/>
        <w:jc w:val="both"/>
        <w:rPr>
          <w:szCs w:val="24"/>
          <w:lang w:eastAsia="en-GB"/>
        </w:rPr>
      </w:pPr>
      <w:r>
        <w:rPr>
          <w:szCs w:val="24"/>
          <w:lang w:eastAsia="en-GB"/>
        </w:rPr>
        <w:t>14</w:t>
      </w:r>
      <w:r>
        <w:rPr>
          <w:szCs w:val="24"/>
          <w:lang w:eastAsia="en-GB"/>
        </w:rPr>
        <w:t>. Jeigu pretendentų vertinimo komisijoje eigoje (pvz., vertinant konkretų pretendentą, įvertinus tik dalį pretendentų, komisijos nariams skaičiuojant balus) atsiranda TGĮ techniniai sutrikimai ir / arba TGĮ atkuria</w:t>
      </w:r>
      <w:r>
        <w:rPr>
          <w:szCs w:val="24"/>
          <w:lang w:eastAsia="en-GB"/>
        </w:rPr>
        <w:t>mo vaizdo ir garso sutrikimai, tai tokiais atvejais, esant galimybei, sutrikimai nedelsiant yra pašalinami ir pretendentų vertinimas komisijoje toliau tęsiamas. Jeigu šių sutrikimų nepavyksta pašalinti per 1-1,5 valandos, tai komisija nustato kitą pretende</w:t>
      </w:r>
      <w:r>
        <w:rPr>
          <w:szCs w:val="24"/>
          <w:lang w:eastAsia="en-GB"/>
        </w:rPr>
        <w:t>ntų vertinimo komisijoje dieną, vadovaudamasi Priėmimo tvarkos aprašo nustatytais terminais dėl pretendentų ir stebėtojų informavimo apie pretendentų vertinimo datą, laiką ir vietą.</w:t>
      </w:r>
    </w:p>
    <w:p w14:paraId="281C0F4F" w14:textId="77777777" w:rsidR="00762438" w:rsidRDefault="00D068CE">
      <w:pPr>
        <w:ind w:firstLine="567"/>
        <w:jc w:val="both"/>
        <w:rPr>
          <w:szCs w:val="24"/>
          <w:lang w:eastAsia="en-GB"/>
        </w:rPr>
      </w:pPr>
    </w:p>
    <w:p w14:paraId="281C0F50" w14:textId="77777777" w:rsidR="00762438" w:rsidRDefault="00D068CE">
      <w:pPr>
        <w:jc w:val="center"/>
        <w:rPr>
          <w:b/>
          <w:szCs w:val="24"/>
          <w:lang w:eastAsia="en-GB"/>
        </w:rPr>
      </w:pPr>
      <w:r>
        <w:rPr>
          <w:b/>
          <w:szCs w:val="24"/>
          <w:lang w:eastAsia="en-GB"/>
        </w:rPr>
        <w:t>V</w:t>
      </w:r>
      <w:r>
        <w:rPr>
          <w:b/>
          <w:szCs w:val="24"/>
          <w:lang w:eastAsia="en-GB"/>
        </w:rPr>
        <w:t xml:space="preserve"> SKYRIUS</w:t>
      </w:r>
    </w:p>
    <w:p w14:paraId="281C0F51" w14:textId="77777777" w:rsidR="00762438" w:rsidRDefault="00D068CE">
      <w:pPr>
        <w:jc w:val="center"/>
        <w:rPr>
          <w:b/>
          <w:szCs w:val="24"/>
          <w:lang w:eastAsia="en-GB"/>
        </w:rPr>
      </w:pPr>
      <w:r>
        <w:rPr>
          <w:b/>
          <w:szCs w:val="24"/>
          <w:lang w:eastAsia="en-GB"/>
        </w:rPr>
        <w:t>BAIGIAMOSIOS NUOSTATOS</w:t>
      </w:r>
    </w:p>
    <w:p w14:paraId="281C0F52" w14:textId="77777777" w:rsidR="00762438" w:rsidRDefault="00762438">
      <w:pPr>
        <w:jc w:val="center"/>
        <w:rPr>
          <w:b/>
          <w:szCs w:val="24"/>
          <w:lang w:eastAsia="en-GB"/>
        </w:rPr>
      </w:pPr>
    </w:p>
    <w:p w14:paraId="281C0F53" w14:textId="77777777" w:rsidR="00762438" w:rsidRDefault="00D068CE">
      <w:pPr>
        <w:ind w:firstLine="720"/>
        <w:jc w:val="both"/>
        <w:rPr>
          <w:szCs w:val="24"/>
          <w:lang w:eastAsia="en-GB"/>
        </w:rPr>
      </w:pPr>
      <w:r>
        <w:rPr>
          <w:szCs w:val="24"/>
          <w:lang w:eastAsia="en-GB"/>
        </w:rPr>
        <w:t>15</w:t>
      </w:r>
      <w:r>
        <w:rPr>
          <w:szCs w:val="24"/>
          <w:lang w:eastAsia="en-GB"/>
        </w:rPr>
        <w:t xml:space="preserve">. Komisijos nariai privalo </w:t>
      </w:r>
      <w:r>
        <w:rPr>
          <w:szCs w:val="24"/>
          <w:lang w:eastAsia="en-GB"/>
        </w:rPr>
        <w:t xml:space="preserve">laikytis asmens duomenų apsaugą reglamentuojančių teisės aktų reikalavimų ir neatskleisti asmens duomenų bei užtikrinti Priėmimo tvarkos apraše nustatytų procedūrų laikymąsi. </w:t>
      </w:r>
    </w:p>
    <w:p w14:paraId="281C0F55" w14:textId="3417139A" w:rsidR="00762438" w:rsidRDefault="00D068CE" w:rsidP="00D068CE">
      <w:pPr>
        <w:ind w:firstLine="720"/>
        <w:jc w:val="both"/>
        <w:rPr>
          <w:szCs w:val="24"/>
          <w:lang w:eastAsia="en-GB"/>
        </w:rPr>
      </w:pPr>
      <w:r>
        <w:rPr>
          <w:szCs w:val="24"/>
          <w:lang w:eastAsia="en-GB"/>
        </w:rPr>
        <w:t>16</w:t>
      </w:r>
      <w:r>
        <w:rPr>
          <w:szCs w:val="24"/>
          <w:lang w:eastAsia="en-GB"/>
        </w:rPr>
        <w:t>. Aprašo 10-12 punktuose nurodyti dokumentai ir laikmena su skaitmeniniu g</w:t>
      </w:r>
      <w:r>
        <w:rPr>
          <w:szCs w:val="24"/>
          <w:lang w:eastAsia="en-GB"/>
        </w:rPr>
        <w:t xml:space="preserve">arso ir vaizdo įrašu pridedami prie protokolo ir saugomi Priėmimo tvarkos aprašo nustatyta tvarka. </w:t>
      </w:r>
    </w:p>
    <w:p w14:paraId="281C0F5A" w14:textId="560A7AD1" w:rsidR="00762438" w:rsidRDefault="00D068CE" w:rsidP="00D068CE">
      <w:pPr>
        <w:jc w:val="center"/>
        <w:rPr>
          <w:szCs w:val="24"/>
          <w:lang w:eastAsia="en-GB"/>
        </w:rPr>
      </w:pPr>
      <w:r>
        <w:rPr>
          <w:szCs w:val="24"/>
          <w:lang w:eastAsia="en-GB"/>
        </w:rPr>
        <w:t>_________________</w:t>
      </w:r>
    </w:p>
    <w:p w14:paraId="1BDC9E99" w14:textId="77777777" w:rsidR="00D068CE" w:rsidRDefault="00D068CE">
      <w:pPr>
        <w:ind w:firstLine="5760"/>
        <w:jc w:val="both"/>
        <w:sectPr w:rsidR="00D068CE">
          <w:pgSz w:w="11906" w:h="16838"/>
          <w:pgMar w:top="709" w:right="567" w:bottom="1134" w:left="1701" w:header="567" w:footer="567" w:gutter="0"/>
          <w:pgNumType w:start="1"/>
          <w:cols w:space="720"/>
          <w:titlePg/>
        </w:sectPr>
      </w:pPr>
    </w:p>
    <w:p w14:paraId="281C0F5B" w14:textId="16217044" w:rsidR="00762438" w:rsidRDefault="00D068CE">
      <w:pPr>
        <w:ind w:firstLine="5760"/>
        <w:jc w:val="both"/>
        <w:rPr>
          <w:szCs w:val="24"/>
          <w:lang w:eastAsia="en-GB"/>
        </w:rPr>
      </w:pPr>
      <w:r>
        <w:rPr>
          <w:szCs w:val="24"/>
          <w:lang w:eastAsia="en-GB"/>
        </w:rPr>
        <w:lastRenderedPageBreak/>
        <w:t>Pretendentų vertinimo komisijoje,</w:t>
      </w:r>
    </w:p>
    <w:p w14:paraId="281C0F5C" w14:textId="77777777" w:rsidR="00762438" w:rsidRDefault="00D068CE">
      <w:pPr>
        <w:ind w:firstLine="5760"/>
        <w:jc w:val="both"/>
        <w:rPr>
          <w:szCs w:val="24"/>
          <w:lang w:eastAsia="en-GB"/>
        </w:rPr>
      </w:pPr>
      <w:r>
        <w:rPr>
          <w:szCs w:val="24"/>
          <w:lang w:eastAsia="en-GB"/>
        </w:rPr>
        <w:t>naudojant telekomunikacijų galinius</w:t>
      </w:r>
    </w:p>
    <w:p w14:paraId="281C0F5D" w14:textId="77777777" w:rsidR="00762438" w:rsidRDefault="00D068CE">
      <w:pPr>
        <w:ind w:left="5040" w:firstLine="720"/>
        <w:jc w:val="both"/>
        <w:rPr>
          <w:szCs w:val="24"/>
          <w:lang w:eastAsia="en-GB"/>
        </w:rPr>
      </w:pPr>
      <w:r>
        <w:rPr>
          <w:szCs w:val="24"/>
          <w:lang w:eastAsia="en-GB"/>
        </w:rPr>
        <w:t>įrenginius, tvarkos aprašo</w:t>
      </w:r>
    </w:p>
    <w:p w14:paraId="281C0F5E" w14:textId="77777777" w:rsidR="00762438" w:rsidRDefault="00D068CE">
      <w:pPr>
        <w:ind w:left="5040" w:firstLine="720"/>
        <w:jc w:val="both"/>
        <w:rPr>
          <w:szCs w:val="24"/>
          <w:lang w:eastAsia="en-GB"/>
        </w:rPr>
      </w:pPr>
      <w:r>
        <w:rPr>
          <w:szCs w:val="24"/>
          <w:lang w:eastAsia="en-GB"/>
        </w:rPr>
        <w:t>1</w:t>
      </w:r>
      <w:r>
        <w:rPr>
          <w:szCs w:val="24"/>
          <w:lang w:eastAsia="en-GB"/>
        </w:rPr>
        <w:t xml:space="preserve"> priedas</w:t>
      </w:r>
    </w:p>
    <w:p w14:paraId="281C0F5F" w14:textId="77777777" w:rsidR="00762438" w:rsidRDefault="00762438">
      <w:pPr>
        <w:ind w:left="5040" w:firstLine="720"/>
        <w:jc w:val="both"/>
        <w:rPr>
          <w:szCs w:val="24"/>
          <w:lang w:eastAsia="en-GB"/>
        </w:rPr>
      </w:pPr>
    </w:p>
    <w:p w14:paraId="281C0F60" w14:textId="77777777" w:rsidR="00762438" w:rsidRDefault="00762438">
      <w:pPr>
        <w:ind w:left="5040" w:firstLine="720"/>
        <w:jc w:val="both"/>
        <w:rPr>
          <w:szCs w:val="24"/>
          <w:lang w:eastAsia="en-GB"/>
        </w:rPr>
      </w:pPr>
    </w:p>
    <w:p w14:paraId="281C0F61" w14:textId="77777777" w:rsidR="00762438" w:rsidRDefault="00D068CE">
      <w:pPr>
        <w:jc w:val="center"/>
        <w:rPr>
          <w:b/>
          <w:color w:val="000000"/>
          <w:szCs w:val="24"/>
          <w:lang w:eastAsia="en-GB"/>
        </w:rPr>
      </w:pPr>
      <w:r>
        <w:rPr>
          <w:b/>
          <w:szCs w:val="24"/>
          <w:lang w:eastAsia="en-GB"/>
        </w:rPr>
        <w:t>TELEKOMUNIKACIJŲ GALINIAMS IRENGINIAMS TAIKOMI MINIMALŪS TECHNINIAI REIKALAVIMAI</w:t>
      </w:r>
      <w:r>
        <w:rPr>
          <w:b/>
          <w:color w:val="000000"/>
          <w:szCs w:val="24"/>
          <w:lang w:eastAsia="en-GB"/>
        </w:rPr>
        <w:t xml:space="preserve"> </w:t>
      </w:r>
    </w:p>
    <w:p w14:paraId="281C0F62" w14:textId="77777777" w:rsidR="00762438" w:rsidRDefault="00762438">
      <w:pPr>
        <w:jc w:val="center"/>
        <w:rPr>
          <w:b/>
          <w:color w:val="000000"/>
          <w:szCs w:val="24"/>
          <w:lang w:eastAsia="en-GB"/>
        </w:rPr>
      </w:pPr>
    </w:p>
    <w:p w14:paraId="281C0F63" w14:textId="77777777" w:rsidR="00762438" w:rsidRDefault="00762438">
      <w:pPr>
        <w:jc w:val="center"/>
        <w:rPr>
          <w:b/>
          <w:color w:val="000000"/>
          <w:szCs w:val="24"/>
          <w:lang w:eastAsia="en-GB"/>
        </w:rPr>
      </w:pPr>
    </w:p>
    <w:p w14:paraId="281C0F64" w14:textId="77777777" w:rsidR="00762438" w:rsidRDefault="00D068CE">
      <w:pPr>
        <w:ind w:firstLine="720"/>
        <w:jc w:val="both"/>
        <w:rPr>
          <w:szCs w:val="24"/>
          <w:lang w:eastAsia="en-GB"/>
        </w:rPr>
      </w:pPr>
      <w:r>
        <w:rPr>
          <w:szCs w:val="24"/>
          <w:lang w:eastAsia="en-GB"/>
        </w:rPr>
        <w:t xml:space="preserve">Telekomunikacijų galiniai įrenginiai turi atitikti šiuos minimalius techninius reikalavimus: </w:t>
      </w:r>
    </w:p>
    <w:p w14:paraId="281C0F65" w14:textId="77777777" w:rsidR="00762438" w:rsidRDefault="00D068CE">
      <w:pPr>
        <w:ind w:firstLine="720"/>
        <w:jc w:val="both"/>
        <w:rPr>
          <w:szCs w:val="24"/>
          <w:lang w:eastAsia="en-GB"/>
        </w:rPr>
      </w:pPr>
      <w:r>
        <w:rPr>
          <w:szCs w:val="24"/>
          <w:lang w:eastAsia="en-GB"/>
        </w:rPr>
        <w:t>1</w:t>
      </w:r>
      <w:r>
        <w:rPr>
          <w:szCs w:val="24"/>
          <w:lang w:eastAsia="en-GB"/>
        </w:rPr>
        <w:t>. Kompiuteris, galintis atvaizduoti aukštos raiškos (1080p) vaizdo tra</w:t>
      </w:r>
      <w:r>
        <w:rPr>
          <w:szCs w:val="24"/>
          <w:lang w:eastAsia="en-GB"/>
        </w:rPr>
        <w:t>nsliaciją su palaikoma „Microsoft Windows“ operacinės sistemos versija, naujausia „</w:t>
      </w:r>
      <w:proofErr w:type="spellStart"/>
      <w:r>
        <w:rPr>
          <w:szCs w:val="24"/>
          <w:lang w:eastAsia="en-GB"/>
        </w:rPr>
        <w:t>Google</w:t>
      </w:r>
      <w:proofErr w:type="spellEnd"/>
      <w:r>
        <w:rPr>
          <w:szCs w:val="24"/>
          <w:lang w:eastAsia="en-GB"/>
        </w:rPr>
        <w:t xml:space="preserve"> Chrome“ ar „Microsoft </w:t>
      </w:r>
      <w:proofErr w:type="spellStart"/>
      <w:r>
        <w:rPr>
          <w:szCs w:val="24"/>
          <w:lang w:eastAsia="en-GB"/>
        </w:rPr>
        <w:t>Edge</w:t>
      </w:r>
      <w:proofErr w:type="spellEnd"/>
      <w:r>
        <w:rPr>
          <w:szCs w:val="24"/>
          <w:lang w:eastAsia="en-GB"/>
        </w:rPr>
        <w:t>“ naršyklės versija.</w:t>
      </w:r>
    </w:p>
    <w:p w14:paraId="281C0F66" w14:textId="77777777" w:rsidR="00762438" w:rsidRDefault="00D068CE">
      <w:pPr>
        <w:ind w:firstLine="720"/>
        <w:jc w:val="both"/>
        <w:rPr>
          <w:szCs w:val="24"/>
          <w:lang w:eastAsia="en-GB"/>
        </w:rPr>
      </w:pPr>
      <w:r>
        <w:rPr>
          <w:szCs w:val="24"/>
          <w:lang w:eastAsia="en-GB"/>
        </w:rPr>
        <w:t>2</w:t>
      </w:r>
      <w:r>
        <w:rPr>
          <w:szCs w:val="24"/>
          <w:lang w:eastAsia="en-GB"/>
        </w:rPr>
        <w:t>. Minimalaus matymo kampo (ne mažesnio kaip 78 laipsniai) internetinė kamera, pritaikyta vaizdo konferencijų organ</w:t>
      </w:r>
      <w:r>
        <w:rPr>
          <w:szCs w:val="24"/>
          <w:lang w:eastAsia="en-GB"/>
        </w:rPr>
        <w:t xml:space="preserve">izavimui. </w:t>
      </w:r>
    </w:p>
    <w:p w14:paraId="281C0F67" w14:textId="77777777" w:rsidR="00762438" w:rsidRDefault="00D068CE">
      <w:pPr>
        <w:ind w:firstLine="720"/>
        <w:jc w:val="both"/>
        <w:rPr>
          <w:szCs w:val="24"/>
          <w:lang w:eastAsia="en-GB"/>
        </w:rPr>
      </w:pPr>
      <w:r>
        <w:rPr>
          <w:szCs w:val="24"/>
          <w:lang w:eastAsia="en-GB"/>
        </w:rPr>
        <w:t>3</w:t>
      </w:r>
      <w:r>
        <w:rPr>
          <w:szCs w:val="24"/>
          <w:lang w:eastAsia="en-GB"/>
        </w:rPr>
        <w:t>. Išorinis erdvinis mikrofonas, fiksuojantis visoje patalpoje esančius garsus.</w:t>
      </w:r>
    </w:p>
    <w:p w14:paraId="281C0F68" w14:textId="77777777" w:rsidR="00762438" w:rsidRDefault="00D068CE">
      <w:pPr>
        <w:ind w:firstLine="720"/>
        <w:jc w:val="both"/>
        <w:rPr>
          <w:szCs w:val="24"/>
          <w:lang w:eastAsia="en-GB"/>
        </w:rPr>
      </w:pPr>
      <w:r>
        <w:rPr>
          <w:szCs w:val="24"/>
          <w:lang w:eastAsia="en-GB"/>
        </w:rPr>
        <w:t>4</w:t>
      </w:r>
      <w:r>
        <w:rPr>
          <w:szCs w:val="24"/>
          <w:lang w:eastAsia="en-GB"/>
        </w:rPr>
        <w:t>. Televizorius arba projektorius (įstrižainė ne mažesnė kaip 42 coliai).</w:t>
      </w:r>
    </w:p>
    <w:p w14:paraId="281C0F6B" w14:textId="5CAADAE1" w:rsidR="00762438" w:rsidRDefault="00D068CE" w:rsidP="00D068CE">
      <w:pPr>
        <w:ind w:firstLine="720"/>
        <w:jc w:val="both"/>
        <w:rPr>
          <w:szCs w:val="24"/>
          <w:lang w:eastAsia="en-GB"/>
        </w:rPr>
      </w:pPr>
      <w:r>
        <w:rPr>
          <w:szCs w:val="24"/>
          <w:lang w:eastAsia="en-GB"/>
        </w:rPr>
        <w:t>5</w:t>
      </w:r>
      <w:r>
        <w:rPr>
          <w:szCs w:val="24"/>
          <w:lang w:eastAsia="en-GB"/>
        </w:rPr>
        <w:t xml:space="preserve">. Internetinio greičio sparta Lietuvos teritorijoje ne mažesnė nei 100 </w:t>
      </w:r>
      <w:proofErr w:type="spellStart"/>
      <w:r>
        <w:rPr>
          <w:szCs w:val="24"/>
          <w:lang w:eastAsia="en-GB"/>
        </w:rPr>
        <w:t>Mb</w:t>
      </w:r>
      <w:proofErr w:type="spellEnd"/>
      <w:r>
        <w:rPr>
          <w:szCs w:val="24"/>
          <w:lang w:eastAsia="en-GB"/>
        </w:rPr>
        <w:t>/s.</w:t>
      </w:r>
    </w:p>
    <w:p w14:paraId="281C0F6F" w14:textId="0DD31748" w:rsidR="00762438" w:rsidRDefault="00D068CE" w:rsidP="00D068CE">
      <w:pPr>
        <w:jc w:val="center"/>
        <w:rPr>
          <w:szCs w:val="24"/>
          <w:lang w:eastAsia="en-GB"/>
        </w:rPr>
      </w:pPr>
      <w:r>
        <w:rPr>
          <w:szCs w:val="24"/>
          <w:lang w:eastAsia="en-GB"/>
        </w:rPr>
        <w:t>__________________</w:t>
      </w:r>
    </w:p>
    <w:bookmarkStart w:id="0" w:name="_GoBack" w:displacedByCustomXml="prev"/>
    <w:p w14:paraId="5805D1EA" w14:textId="77777777" w:rsidR="00D068CE" w:rsidRDefault="00D068CE">
      <w:pPr>
        <w:ind w:firstLine="5760"/>
        <w:jc w:val="both"/>
        <w:sectPr w:rsidR="00D068CE">
          <w:pgSz w:w="11906" w:h="16838"/>
          <w:pgMar w:top="709" w:right="567" w:bottom="1134" w:left="1701" w:header="567" w:footer="567" w:gutter="0"/>
          <w:pgNumType w:start="1"/>
          <w:cols w:space="720"/>
          <w:titlePg/>
        </w:sectPr>
      </w:pPr>
    </w:p>
    <w:p w14:paraId="281C0F70" w14:textId="270DD089" w:rsidR="00762438" w:rsidRDefault="00D068CE">
      <w:pPr>
        <w:ind w:firstLine="5760"/>
        <w:jc w:val="both"/>
        <w:rPr>
          <w:szCs w:val="24"/>
          <w:lang w:eastAsia="en-GB"/>
        </w:rPr>
      </w:pPr>
      <w:r>
        <w:rPr>
          <w:szCs w:val="24"/>
          <w:lang w:eastAsia="en-GB"/>
        </w:rPr>
        <w:lastRenderedPageBreak/>
        <w:t>Pretendentų vertinimo komisijoje,</w:t>
      </w:r>
    </w:p>
    <w:p w14:paraId="281C0F71" w14:textId="77777777" w:rsidR="00762438" w:rsidRDefault="00D068CE">
      <w:pPr>
        <w:ind w:firstLine="5760"/>
        <w:jc w:val="both"/>
        <w:rPr>
          <w:szCs w:val="24"/>
          <w:lang w:eastAsia="en-GB"/>
        </w:rPr>
      </w:pPr>
      <w:r>
        <w:rPr>
          <w:szCs w:val="24"/>
          <w:lang w:eastAsia="en-GB"/>
        </w:rPr>
        <w:t>naudojant telekomunikacijų galinius</w:t>
      </w:r>
    </w:p>
    <w:p w14:paraId="281C0F72" w14:textId="77777777" w:rsidR="00762438" w:rsidRDefault="00D068CE">
      <w:pPr>
        <w:ind w:left="5040" w:firstLine="720"/>
        <w:jc w:val="both"/>
        <w:rPr>
          <w:szCs w:val="24"/>
          <w:lang w:eastAsia="en-GB"/>
        </w:rPr>
      </w:pPr>
      <w:r>
        <w:rPr>
          <w:szCs w:val="24"/>
          <w:lang w:eastAsia="en-GB"/>
        </w:rPr>
        <w:t>įrenginius, tvarkos aprašo</w:t>
      </w:r>
    </w:p>
    <w:p w14:paraId="281C0F73" w14:textId="77777777" w:rsidR="00762438" w:rsidRDefault="00D068CE">
      <w:pPr>
        <w:ind w:left="5040" w:firstLine="720"/>
        <w:jc w:val="both"/>
        <w:rPr>
          <w:szCs w:val="24"/>
          <w:lang w:eastAsia="en-GB"/>
        </w:rPr>
      </w:pPr>
      <w:r>
        <w:rPr>
          <w:szCs w:val="24"/>
          <w:lang w:eastAsia="en-GB"/>
        </w:rPr>
        <w:t>2</w:t>
      </w:r>
      <w:r>
        <w:rPr>
          <w:szCs w:val="24"/>
          <w:lang w:eastAsia="en-GB"/>
        </w:rPr>
        <w:t xml:space="preserve"> priedas</w:t>
      </w:r>
    </w:p>
    <w:p w14:paraId="281C0F74" w14:textId="77777777" w:rsidR="00762438" w:rsidRDefault="00762438">
      <w:pPr>
        <w:jc w:val="center"/>
        <w:rPr>
          <w:szCs w:val="24"/>
          <w:lang w:eastAsia="en-GB"/>
        </w:rPr>
      </w:pPr>
    </w:p>
    <w:p w14:paraId="281C0F75" w14:textId="77777777" w:rsidR="00762438" w:rsidRDefault="00762438">
      <w:pPr>
        <w:jc w:val="center"/>
        <w:rPr>
          <w:szCs w:val="24"/>
          <w:lang w:eastAsia="en-GB"/>
        </w:rPr>
      </w:pPr>
    </w:p>
    <w:p w14:paraId="281C0F76" w14:textId="77777777" w:rsidR="00762438" w:rsidRDefault="00D068CE">
      <w:pPr>
        <w:jc w:val="center"/>
        <w:rPr>
          <w:b/>
          <w:szCs w:val="24"/>
          <w:lang w:eastAsia="en-GB"/>
        </w:rPr>
      </w:pPr>
      <w:r>
        <w:rPr>
          <w:b/>
          <w:szCs w:val="24"/>
          <w:lang w:eastAsia="en-GB"/>
        </w:rPr>
        <w:t>(Asmens tapatybės patvirtinimo formos pavyzdys)</w:t>
      </w:r>
    </w:p>
    <w:p w14:paraId="281C0F77" w14:textId="77777777" w:rsidR="00762438" w:rsidRDefault="00762438">
      <w:pPr>
        <w:jc w:val="center"/>
        <w:rPr>
          <w:b/>
          <w:szCs w:val="24"/>
          <w:lang w:eastAsia="en-GB"/>
        </w:rPr>
      </w:pPr>
    </w:p>
    <w:p w14:paraId="281C0F78" w14:textId="76035A5D" w:rsidR="00762438" w:rsidRDefault="00D068CE">
      <w:pPr>
        <w:jc w:val="center"/>
        <w:rPr>
          <w:b/>
          <w:szCs w:val="24"/>
          <w:lang w:eastAsia="en-GB"/>
        </w:rPr>
      </w:pPr>
      <w:r>
        <w:rPr>
          <w:b/>
          <w:szCs w:val="24"/>
          <w:lang w:eastAsia="en-GB"/>
        </w:rPr>
        <w:t>ASMENS TAPATYBĖS PATVIRTINIMAS</w:t>
      </w:r>
    </w:p>
    <w:p w14:paraId="281C0F79" w14:textId="77777777" w:rsidR="00762438" w:rsidRDefault="00762438">
      <w:pPr>
        <w:jc w:val="center"/>
        <w:rPr>
          <w:b/>
          <w:szCs w:val="24"/>
          <w:lang w:eastAsia="en-GB"/>
        </w:rPr>
      </w:pPr>
    </w:p>
    <w:p w14:paraId="281C0F7A" w14:textId="77777777" w:rsidR="00762438" w:rsidRDefault="00762438">
      <w:pPr>
        <w:jc w:val="center"/>
        <w:rPr>
          <w:b/>
          <w:szCs w:val="24"/>
          <w:lang w:eastAsia="en-GB"/>
        </w:rPr>
      </w:pPr>
    </w:p>
    <w:p w14:paraId="281C0F7B" w14:textId="77777777" w:rsidR="00762438" w:rsidRDefault="00D068CE">
      <w:pPr>
        <w:jc w:val="both"/>
        <w:rPr>
          <w:rFonts w:eastAsia="Calibri"/>
          <w:szCs w:val="22"/>
          <w:lang w:eastAsia="en-GB"/>
        </w:rPr>
      </w:pPr>
      <w:r>
        <w:rPr>
          <w:rFonts w:eastAsia="Calibri"/>
          <w:szCs w:val="22"/>
          <w:lang w:eastAsia="en-GB"/>
        </w:rPr>
        <w:t xml:space="preserve">Aš, </w:t>
      </w:r>
      <w:r>
        <w:rPr>
          <w:rFonts w:eastAsia="Calibri"/>
          <w:szCs w:val="22"/>
          <w:lang w:eastAsia="en-GB"/>
        </w:rPr>
        <w:t>____________________________________________________________________________,</w:t>
      </w:r>
    </w:p>
    <w:p w14:paraId="281C0F7C" w14:textId="77777777" w:rsidR="00762438" w:rsidRDefault="00D068CE">
      <w:pPr>
        <w:jc w:val="center"/>
        <w:rPr>
          <w:rFonts w:eastAsia="Calibri"/>
          <w:i/>
          <w:sz w:val="18"/>
          <w:szCs w:val="18"/>
          <w:lang w:eastAsia="en-GB"/>
        </w:rPr>
      </w:pPr>
      <w:r>
        <w:rPr>
          <w:rFonts w:eastAsia="Calibri"/>
          <w:i/>
          <w:sz w:val="18"/>
          <w:szCs w:val="18"/>
          <w:lang w:eastAsia="en-GB"/>
        </w:rPr>
        <w:t>(Komisijos nario vardas, pavardė)</w:t>
      </w:r>
    </w:p>
    <w:p w14:paraId="281C0F7D" w14:textId="77777777" w:rsidR="00762438" w:rsidRDefault="00762438">
      <w:pPr>
        <w:jc w:val="center"/>
        <w:rPr>
          <w:rFonts w:eastAsia="Calibri"/>
          <w:szCs w:val="22"/>
          <w:lang w:eastAsia="en-GB"/>
        </w:rPr>
      </w:pPr>
    </w:p>
    <w:p w14:paraId="281C0F7E" w14:textId="77777777" w:rsidR="00762438" w:rsidRDefault="00D068CE">
      <w:pPr>
        <w:jc w:val="both"/>
        <w:rPr>
          <w:rFonts w:eastAsia="Calibri"/>
          <w:szCs w:val="22"/>
          <w:lang w:eastAsia="en-GB"/>
        </w:rPr>
      </w:pPr>
      <w:r>
        <w:rPr>
          <w:rFonts w:eastAsia="Calibri"/>
          <w:szCs w:val="22"/>
          <w:lang w:eastAsia="en-GB"/>
        </w:rPr>
        <w:t>patvirtinu šio (-</w:t>
      </w:r>
      <w:proofErr w:type="spellStart"/>
      <w:r>
        <w:rPr>
          <w:rFonts w:eastAsia="Calibri"/>
          <w:szCs w:val="22"/>
          <w:lang w:eastAsia="en-GB"/>
        </w:rPr>
        <w:t>ių</w:t>
      </w:r>
      <w:proofErr w:type="spellEnd"/>
      <w:r>
        <w:rPr>
          <w:rFonts w:eastAsia="Calibri"/>
          <w:szCs w:val="22"/>
          <w:lang w:eastAsia="en-GB"/>
        </w:rPr>
        <w:t>) asmens (-ų), kuris (-</w:t>
      </w:r>
      <w:proofErr w:type="spellStart"/>
      <w:r>
        <w:rPr>
          <w:rFonts w:eastAsia="Calibri"/>
          <w:szCs w:val="22"/>
          <w:lang w:eastAsia="en-GB"/>
        </w:rPr>
        <w:t>ie</w:t>
      </w:r>
      <w:proofErr w:type="spellEnd"/>
      <w:r>
        <w:rPr>
          <w:rFonts w:eastAsia="Calibri"/>
          <w:szCs w:val="22"/>
          <w:lang w:eastAsia="en-GB"/>
        </w:rPr>
        <w:t xml:space="preserve">) </w:t>
      </w:r>
      <w:r>
        <w:rPr>
          <w:rFonts w:eastAsia="Calibri"/>
          <w:i/>
          <w:szCs w:val="22"/>
          <w:lang w:eastAsia="en-GB"/>
        </w:rPr>
        <w:t xml:space="preserve">(nurodoma data) </w:t>
      </w:r>
      <w:r>
        <w:rPr>
          <w:rFonts w:eastAsia="Calibri"/>
          <w:szCs w:val="22"/>
          <w:lang w:eastAsia="en-GB"/>
        </w:rPr>
        <w:t>dalyvavo pretendentų vertinime komisijoje, naudojant telekomunikacijų galinius įr</w:t>
      </w:r>
      <w:r>
        <w:rPr>
          <w:rFonts w:eastAsia="Calibri"/>
          <w:szCs w:val="22"/>
          <w:lang w:eastAsia="en-GB"/>
        </w:rPr>
        <w:t xml:space="preserve">enginius, </w:t>
      </w:r>
      <w:r>
        <w:rPr>
          <w:rFonts w:eastAsia="Calibri"/>
          <w:i/>
          <w:szCs w:val="22"/>
          <w:lang w:eastAsia="en-GB"/>
        </w:rPr>
        <w:t xml:space="preserve">(nurodomas įstaigos pavadinimas ir adresas, kurioje vyko pretendentų vertinimas komisijoje) </w:t>
      </w:r>
      <w:r>
        <w:rPr>
          <w:rFonts w:eastAsia="Calibri"/>
          <w:szCs w:val="22"/>
          <w:lang w:eastAsia="en-GB"/>
        </w:rPr>
        <w:t>ir</w:t>
      </w:r>
      <w:r>
        <w:rPr>
          <w:rFonts w:eastAsia="Calibri"/>
          <w:i/>
          <w:szCs w:val="22"/>
          <w:lang w:eastAsia="en-GB"/>
        </w:rPr>
        <w:t xml:space="preserve"> </w:t>
      </w:r>
      <w:r>
        <w:rPr>
          <w:rFonts w:eastAsia="Calibri"/>
          <w:szCs w:val="22"/>
          <w:lang w:eastAsia="en-GB"/>
        </w:rPr>
        <w:t>pateikė galiojantį (-</w:t>
      </w:r>
      <w:proofErr w:type="spellStart"/>
      <w:r>
        <w:rPr>
          <w:rFonts w:eastAsia="Calibri"/>
          <w:szCs w:val="22"/>
          <w:lang w:eastAsia="en-GB"/>
        </w:rPr>
        <w:t>ius</w:t>
      </w:r>
      <w:proofErr w:type="spellEnd"/>
      <w:r>
        <w:rPr>
          <w:rFonts w:eastAsia="Calibri"/>
          <w:szCs w:val="22"/>
          <w:lang w:eastAsia="en-GB"/>
        </w:rPr>
        <w:t>) asmens tapatybę patvirtinantį (-</w:t>
      </w:r>
      <w:proofErr w:type="spellStart"/>
      <w:r>
        <w:rPr>
          <w:rFonts w:eastAsia="Calibri"/>
          <w:szCs w:val="22"/>
          <w:lang w:eastAsia="en-GB"/>
        </w:rPr>
        <w:t>ius</w:t>
      </w:r>
      <w:proofErr w:type="spellEnd"/>
      <w:r>
        <w:rPr>
          <w:rFonts w:eastAsia="Calibri"/>
          <w:szCs w:val="22"/>
          <w:lang w:eastAsia="en-GB"/>
        </w:rPr>
        <w:t>) dokumentą (-</w:t>
      </w:r>
      <w:proofErr w:type="spellStart"/>
      <w:r>
        <w:rPr>
          <w:rFonts w:eastAsia="Calibri"/>
          <w:szCs w:val="22"/>
          <w:lang w:eastAsia="en-GB"/>
        </w:rPr>
        <w:t>us</w:t>
      </w:r>
      <w:proofErr w:type="spellEnd"/>
      <w:r>
        <w:rPr>
          <w:rFonts w:eastAsia="Calibri"/>
          <w:szCs w:val="22"/>
          <w:lang w:eastAsia="en-GB"/>
        </w:rPr>
        <w:t>|):</w:t>
      </w:r>
    </w:p>
    <w:p w14:paraId="281C0F7F" w14:textId="77777777" w:rsidR="00762438" w:rsidRDefault="00762438">
      <w:pPr>
        <w:jc w:val="both"/>
        <w:rPr>
          <w:rFonts w:eastAsia="Calibri"/>
          <w:i/>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762438" w14:paraId="281C0F83" w14:textId="77777777">
        <w:tc>
          <w:tcPr>
            <w:tcW w:w="3209" w:type="dxa"/>
          </w:tcPr>
          <w:p w14:paraId="281C0F80" w14:textId="77777777" w:rsidR="00762438" w:rsidRDefault="00D068CE">
            <w:pPr>
              <w:jc w:val="center"/>
              <w:rPr>
                <w:rFonts w:eastAsia="Calibri"/>
                <w:b/>
                <w:szCs w:val="22"/>
                <w:lang w:eastAsia="en-GB"/>
              </w:rPr>
            </w:pPr>
            <w:r>
              <w:rPr>
                <w:rFonts w:eastAsia="Calibri"/>
                <w:b/>
                <w:szCs w:val="22"/>
                <w:lang w:eastAsia="en-GB"/>
              </w:rPr>
              <w:t>Pretendento/stebėtojo vardas, pavardė</w:t>
            </w:r>
          </w:p>
        </w:tc>
        <w:tc>
          <w:tcPr>
            <w:tcW w:w="3209" w:type="dxa"/>
          </w:tcPr>
          <w:p w14:paraId="281C0F81" w14:textId="77777777" w:rsidR="00762438" w:rsidRDefault="00D068CE">
            <w:pPr>
              <w:jc w:val="center"/>
              <w:rPr>
                <w:rFonts w:eastAsia="Calibri"/>
                <w:b/>
                <w:szCs w:val="22"/>
                <w:lang w:eastAsia="en-GB"/>
              </w:rPr>
            </w:pPr>
            <w:r>
              <w:rPr>
                <w:rFonts w:eastAsia="Calibri"/>
                <w:b/>
                <w:szCs w:val="22"/>
                <w:lang w:eastAsia="en-GB"/>
              </w:rPr>
              <w:t>Gimimo data</w:t>
            </w:r>
          </w:p>
        </w:tc>
        <w:tc>
          <w:tcPr>
            <w:tcW w:w="3210" w:type="dxa"/>
          </w:tcPr>
          <w:p w14:paraId="281C0F82" w14:textId="77777777" w:rsidR="00762438" w:rsidRDefault="00D068CE">
            <w:pPr>
              <w:jc w:val="center"/>
              <w:rPr>
                <w:rFonts w:eastAsia="Calibri"/>
                <w:b/>
                <w:szCs w:val="22"/>
                <w:lang w:eastAsia="en-GB"/>
              </w:rPr>
            </w:pPr>
            <w:r>
              <w:rPr>
                <w:rFonts w:eastAsia="Calibri"/>
                <w:b/>
                <w:szCs w:val="22"/>
                <w:lang w:eastAsia="en-GB"/>
              </w:rPr>
              <w:t xml:space="preserve">Asmens tapatybę </w:t>
            </w:r>
            <w:r>
              <w:rPr>
                <w:rFonts w:eastAsia="Calibri"/>
                <w:b/>
                <w:szCs w:val="22"/>
                <w:lang w:eastAsia="en-GB"/>
              </w:rPr>
              <w:t>patvirtinančio dokumento pavadinimas, numeris, išdavimo data</w:t>
            </w:r>
          </w:p>
        </w:tc>
      </w:tr>
      <w:tr w:rsidR="00762438" w14:paraId="281C0F88" w14:textId="77777777">
        <w:tc>
          <w:tcPr>
            <w:tcW w:w="3209" w:type="dxa"/>
          </w:tcPr>
          <w:p w14:paraId="281C0F84" w14:textId="77777777" w:rsidR="00762438" w:rsidRDefault="00762438">
            <w:pPr>
              <w:jc w:val="both"/>
              <w:rPr>
                <w:rFonts w:eastAsia="Calibri"/>
                <w:szCs w:val="22"/>
                <w:lang w:eastAsia="en-GB"/>
              </w:rPr>
            </w:pPr>
          </w:p>
          <w:p w14:paraId="281C0F85" w14:textId="77777777" w:rsidR="00762438" w:rsidRDefault="00762438">
            <w:pPr>
              <w:jc w:val="both"/>
              <w:rPr>
                <w:rFonts w:eastAsia="Calibri"/>
                <w:szCs w:val="22"/>
                <w:lang w:eastAsia="en-GB"/>
              </w:rPr>
            </w:pPr>
          </w:p>
        </w:tc>
        <w:tc>
          <w:tcPr>
            <w:tcW w:w="3209" w:type="dxa"/>
          </w:tcPr>
          <w:p w14:paraId="281C0F86" w14:textId="77777777" w:rsidR="00762438" w:rsidRDefault="00762438">
            <w:pPr>
              <w:jc w:val="both"/>
              <w:rPr>
                <w:rFonts w:eastAsia="Calibri"/>
                <w:szCs w:val="22"/>
                <w:lang w:eastAsia="en-GB"/>
              </w:rPr>
            </w:pPr>
          </w:p>
        </w:tc>
        <w:tc>
          <w:tcPr>
            <w:tcW w:w="3210" w:type="dxa"/>
          </w:tcPr>
          <w:p w14:paraId="281C0F87" w14:textId="77777777" w:rsidR="00762438" w:rsidRDefault="00762438">
            <w:pPr>
              <w:jc w:val="both"/>
              <w:rPr>
                <w:rFonts w:eastAsia="Calibri"/>
                <w:szCs w:val="22"/>
                <w:lang w:eastAsia="en-GB"/>
              </w:rPr>
            </w:pPr>
          </w:p>
        </w:tc>
      </w:tr>
      <w:tr w:rsidR="00762438" w14:paraId="281C0F8D" w14:textId="77777777">
        <w:tc>
          <w:tcPr>
            <w:tcW w:w="3209" w:type="dxa"/>
          </w:tcPr>
          <w:p w14:paraId="281C0F89" w14:textId="77777777" w:rsidR="00762438" w:rsidRDefault="00762438">
            <w:pPr>
              <w:jc w:val="both"/>
              <w:rPr>
                <w:rFonts w:eastAsia="Calibri"/>
                <w:szCs w:val="22"/>
                <w:lang w:eastAsia="en-GB"/>
              </w:rPr>
            </w:pPr>
          </w:p>
          <w:p w14:paraId="281C0F8A" w14:textId="77777777" w:rsidR="00762438" w:rsidRDefault="00762438">
            <w:pPr>
              <w:jc w:val="both"/>
              <w:rPr>
                <w:rFonts w:eastAsia="Calibri"/>
                <w:szCs w:val="22"/>
                <w:lang w:eastAsia="en-GB"/>
              </w:rPr>
            </w:pPr>
          </w:p>
        </w:tc>
        <w:tc>
          <w:tcPr>
            <w:tcW w:w="3209" w:type="dxa"/>
          </w:tcPr>
          <w:p w14:paraId="281C0F8B" w14:textId="77777777" w:rsidR="00762438" w:rsidRDefault="00762438">
            <w:pPr>
              <w:jc w:val="both"/>
              <w:rPr>
                <w:rFonts w:eastAsia="Calibri"/>
                <w:szCs w:val="22"/>
                <w:lang w:eastAsia="en-GB"/>
              </w:rPr>
            </w:pPr>
          </w:p>
        </w:tc>
        <w:tc>
          <w:tcPr>
            <w:tcW w:w="3210" w:type="dxa"/>
          </w:tcPr>
          <w:p w14:paraId="281C0F8C" w14:textId="77777777" w:rsidR="00762438" w:rsidRDefault="00762438">
            <w:pPr>
              <w:jc w:val="both"/>
              <w:rPr>
                <w:rFonts w:eastAsia="Calibri"/>
                <w:szCs w:val="22"/>
                <w:lang w:eastAsia="en-GB"/>
              </w:rPr>
            </w:pPr>
          </w:p>
        </w:tc>
      </w:tr>
      <w:tr w:rsidR="00762438" w14:paraId="281C0F92" w14:textId="77777777">
        <w:tc>
          <w:tcPr>
            <w:tcW w:w="3209" w:type="dxa"/>
          </w:tcPr>
          <w:p w14:paraId="281C0F8E" w14:textId="77777777" w:rsidR="00762438" w:rsidRDefault="00762438">
            <w:pPr>
              <w:jc w:val="both"/>
              <w:rPr>
                <w:rFonts w:eastAsia="Calibri"/>
                <w:szCs w:val="22"/>
                <w:lang w:eastAsia="en-GB"/>
              </w:rPr>
            </w:pPr>
          </w:p>
          <w:p w14:paraId="281C0F8F" w14:textId="77777777" w:rsidR="00762438" w:rsidRDefault="00762438">
            <w:pPr>
              <w:jc w:val="both"/>
              <w:rPr>
                <w:rFonts w:eastAsia="Calibri"/>
                <w:szCs w:val="22"/>
                <w:lang w:eastAsia="en-GB"/>
              </w:rPr>
            </w:pPr>
          </w:p>
        </w:tc>
        <w:tc>
          <w:tcPr>
            <w:tcW w:w="3209" w:type="dxa"/>
          </w:tcPr>
          <w:p w14:paraId="281C0F90" w14:textId="77777777" w:rsidR="00762438" w:rsidRDefault="00762438">
            <w:pPr>
              <w:jc w:val="both"/>
              <w:rPr>
                <w:rFonts w:eastAsia="Calibri"/>
                <w:szCs w:val="22"/>
                <w:lang w:eastAsia="en-GB"/>
              </w:rPr>
            </w:pPr>
          </w:p>
        </w:tc>
        <w:tc>
          <w:tcPr>
            <w:tcW w:w="3210" w:type="dxa"/>
          </w:tcPr>
          <w:p w14:paraId="281C0F91" w14:textId="77777777" w:rsidR="00762438" w:rsidRDefault="00762438">
            <w:pPr>
              <w:jc w:val="both"/>
              <w:rPr>
                <w:rFonts w:eastAsia="Calibri"/>
                <w:szCs w:val="22"/>
                <w:lang w:eastAsia="en-GB"/>
              </w:rPr>
            </w:pPr>
          </w:p>
        </w:tc>
      </w:tr>
    </w:tbl>
    <w:p w14:paraId="281C0F93" w14:textId="77777777" w:rsidR="00762438" w:rsidRDefault="00762438">
      <w:pPr>
        <w:jc w:val="both"/>
        <w:rPr>
          <w:rFonts w:eastAsia="Calibri"/>
          <w:szCs w:val="22"/>
          <w:lang w:eastAsia="en-GB"/>
        </w:rPr>
      </w:pPr>
    </w:p>
    <w:p w14:paraId="281C0F94" w14:textId="77777777" w:rsidR="00762438" w:rsidRDefault="00762438">
      <w:pPr>
        <w:jc w:val="both"/>
        <w:rPr>
          <w:rFonts w:eastAsia="Calibri"/>
          <w:szCs w:val="22"/>
          <w:lang w:eastAsia="en-GB"/>
        </w:rPr>
      </w:pPr>
    </w:p>
    <w:p w14:paraId="281C0F95" w14:textId="77777777" w:rsidR="00762438" w:rsidRDefault="00762438">
      <w:pPr>
        <w:jc w:val="both"/>
        <w:rPr>
          <w:rFonts w:eastAsia="Calibri"/>
          <w:szCs w:val="22"/>
          <w:lang w:eastAsia="en-GB"/>
        </w:rPr>
      </w:pPr>
    </w:p>
    <w:p w14:paraId="281C0F96" w14:textId="77777777" w:rsidR="00762438" w:rsidRDefault="00D068CE">
      <w:pPr>
        <w:ind w:left="5192"/>
        <w:jc w:val="both"/>
        <w:rPr>
          <w:rFonts w:eastAsia="Calibri"/>
          <w:szCs w:val="22"/>
          <w:lang w:eastAsia="en-GB"/>
        </w:rPr>
      </w:pPr>
      <w:r>
        <w:rPr>
          <w:rFonts w:eastAsia="Calibri"/>
          <w:szCs w:val="22"/>
          <w:lang w:eastAsia="en-GB"/>
        </w:rPr>
        <w:t>_________________________________</w:t>
      </w:r>
    </w:p>
    <w:p w14:paraId="281C0F97" w14:textId="77777777" w:rsidR="00762438" w:rsidRDefault="00D068CE">
      <w:pPr>
        <w:ind w:left="5192" w:firstLine="1298"/>
        <w:rPr>
          <w:rFonts w:eastAsia="Calibri"/>
          <w:i/>
          <w:sz w:val="18"/>
          <w:szCs w:val="18"/>
          <w:lang w:eastAsia="en-GB"/>
        </w:rPr>
      </w:pPr>
      <w:r>
        <w:rPr>
          <w:rFonts w:eastAsia="Calibri"/>
          <w:i/>
          <w:sz w:val="18"/>
          <w:szCs w:val="18"/>
          <w:lang w:eastAsia="en-GB"/>
        </w:rPr>
        <w:t>(Komisijos nario  parašas)</w:t>
      </w:r>
    </w:p>
    <w:p w14:paraId="281C0F9A" w14:textId="2E61B902" w:rsidR="00762438" w:rsidRDefault="00762438">
      <w:pPr>
        <w:jc w:val="both"/>
        <w:rPr>
          <w:szCs w:val="24"/>
          <w:lang w:eastAsia="en-GB"/>
        </w:rPr>
      </w:pPr>
    </w:p>
    <w:p w14:paraId="281C0F9B" w14:textId="77777777" w:rsidR="00762438" w:rsidRDefault="00D068CE">
      <w:pPr>
        <w:jc w:val="center"/>
        <w:rPr>
          <w:szCs w:val="24"/>
          <w:lang w:eastAsia="en-GB"/>
        </w:rPr>
      </w:pPr>
      <w:r>
        <w:rPr>
          <w:szCs w:val="24"/>
          <w:lang w:eastAsia="en-GB"/>
        </w:rPr>
        <w:t>____________________</w:t>
      </w:r>
    </w:p>
    <w:bookmarkEnd w:id="0" w:displacedByCustomXml="next"/>
    <w:sectPr w:rsidR="00762438">
      <w:pgSz w:w="11906" w:h="16838"/>
      <w:pgMar w:top="709" w:right="567" w:bottom="1134" w:left="1701" w:header="567" w:footer="567" w:gutter="0"/>
      <w:pgNumType w:start="1"/>
      <w:cols w:space="720"/>
      <w:titlePg/>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56" w16cid:durableId="203E90EF"/>
  <w16cid:commentId w16cid:paraId="00000058" w16cid:durableId="203E90F0"/>
  <w16cid:commentId w16cid:paraId="0000005F" w16cid:durableId="203E90F1"/>
  <w16cid:commentId w16cid:paraId="0000005E" w16cid:durableId="203E90F2"/>
  <w16cid:commentId w16cid:paraId="0000005C" w16cid:durableId="203E90F3"/>
  <w16cid:commentId w16cid:paraId="0000005D" w16cid:durableId="203E90F4"/>
  <w16cid:commentId w16cid:paraId="00000059" w16cid:durableId="203E90F5"/>
  <w16cid:commentId w16cid:paraId="0000005A" w16cid:durableId="203E90F6"/>
  <w16cid:commentId w16cid:paraId="0000005B" w16cid:durableId="203E90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C0FA0" w14:textId="77777777" w:rsidR="00762438" w:rsidRDefault="00D068CE">
      <w:pPr>
        <w:rPr>
          <w:szCs w:val="24"/>
          <w:lang w:eastAsia="en-GB"/>
        </w:rPr>
      </w:pPr>
      <w:r>
        <w:rPr>
          <w:szCs w:val="24"/>
          <w:lang w:eastAsia="en-GB"/>
        </w:rPr>
        <w:separator/>
      </w:r>
    </w:p>
  </w:endnote>
  <w:endnote w:type="continuationSeparator" w:id="0">
    <w:p w14:paraId="281C0FA1" w14:textId="77777777" w:rsidR="00762438" w:rsidRDefault="00D068CE">
      <w:pPr>
        <w:rPr>
          <w:szCs w:val="24"/>
          <w:lang w:eastAsia="en-GB"/>
        </w:rPr>
      </w:pPr>
      <w:r>
        <w:rPr>
          <w:szCs w:val="24"/>
          <w:lang w:eastAsia="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C0FA5" w14:textId="77777777" w:rsidR="00762438" w:rsidRDefault="00762438">
    <w:pPr>
      <w:tabs>
        <w:tab w:val="center" w:pos="4986"/>
        <w:tab w:val="right" w:pos="9972"/>
      </w:tabs>
      <w:rPr>
        <w:szCs w:val="24"/>
        <w:lang w:eastAsia="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C0FA6" w14:textId="77777777" w:rsidR="00762438" w:rsidRDefault="00762438">
    <w:pPr>
      <w:tabs>
        <w:tab w:val="center" w:pos="4986"/>
        <w:tab w:val="right" w:pos="9972"/>
      </w:tabs>
      <w:rPr>
        <w:szCs w:val="24"/>
        <w:lang w:eastAsia="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C0FA8" w14:textId="77777777" w:rsidR="00762438" w:rsidRDefault="00762438">
    <w:pPr>
      <w:tabs>
        <w:tab w:val="center" w:pos="4986"/>
        <w:tab w:val="right" w:pos="9972"/>
      </w:tabs>
      <w:rPr>
        <w:szCs w:val="24"/>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C0F9E" w14:textId="77777777" w:rsidR="00762438" w:rsidRDefault="00D068CE">
      <w:pPr>
        <w:rPr>
          <w:szCs w:val="24"/>
          <w:lang w:eastAsia="en-GB"/>
        </w:rPr>
      </w:pPr>
      <w:r>
        <w:rPr>
          <w:szCs w:val="24"/>
          <w:lang w:eastAsia="en-GB"/>
        </w:rPr>
        <w:separator/>
      </w:r>
    </w:p>
  </w:footnote>
  <w:footnote w:type="continuationSeparator" w:id="0">
    <w:p w14:paraId="281C0F9F" w14:textId="77777777" w:rsidR="00762438" w:rsidRDefault="00D068CE">
      <w:pPr>
        <w:rPr>
          <w:szCs w:val="24"/>
          <w:lang w:eastAsia="en-GB"/>
        </w:rPr>
      </w:pPr>
      <w:r>
        <w:rPr>
          <w:szCs w:val="24"/>
          <w:lang w:eastAsia="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C0FA2" w14:textId="77777777" w:rsidR="00762438" w:rsidRDefault="00762438">
    <w:pPr>
      <w:tabs>
        <w:tab w:val="center" w:pos="4986"/>
        <w:tab w:val="right" w:pos="9972"/>
      </w:tabs>
      <w:rPr>
        <w:szCs w:val="24"/>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C0FA3" w14:textId="77777777" w:rsidR="00762438" w:rsidRDefault="00D068CE">
    <w:pPr>
      <w:pBdr>
        <w:top w:val="nil"/>
        <w:left w:val="nil"/>
        <w:bottom w:val="nil"/>
        <w:right w:val="nil"/>
        <w:between w:val="nil"/>
      </w:pBdr>
      <w:tabs>
        <w:tab w:val="center" w:pos="4819"/>
        <w:tab w:val="right" w:pos="9638"/>
      </w:tabs>
      <w:jc w:val="center"/>
      <w:rPr>
        <w:color w:val="000000"/>
        <w:szCs w:val="24"/>
        <w:lang w:eastAsia="en-GB"/>
      </w:rPr>
    </w:pPr>
    <w:r>
      <w:rPr>
        <w:color w:val="000000"/>
        <w:szCs w:val="24"/>
        <w:lang w:eastAsia="en-GB"/>
      </w:rPr>
      <w:fldChar w:fldCharType="begin"/>
    </w:r>
    <w:r>
      <w:rPr>
        <w:color w:val="000000"/>
        <w:szCs w:val="24"/>
        <w:lang w:eastAsia="en-GB"/>
      </w:rPr>
      <w:instrText>PAGE</w:instrText>
    </w:r>
    <w:r>
      <w:rPr>
        <w:color w:val="000000"/>
        <w:szCs w:val="24"/>
        <w:lang w:eastAsia="en-GB"/>
      </w:rPr>
      <w:fldChar w:fldCharType="separate"/>
    </w:r>
    <w:r>
      <w:rPr>
        <w:noProof/>
        <w:color w:val="000000"/>
        <w:szCs w:val="24"/>
        <w:lang w:eastAsia="en-GB"/>
      </w:rPr>
      <w:t>3</w:t>
    </w:r>
    <w:r>
      <w:rPr>
        <w:color w:val="000000"/>
        <w:szCs w:val="24"/>
        <w:lang w:eastAsia="en-GB"/>
      </w:rPr>
      <w:fldChar w:fldCharType="end"/>
    </w:r>
  </w:p>
  <w:p w14:paraId="281C0FA4" w14:textId="77777777" w:rsidR="00762438" w:rsidRDefault="00762438">
    <w:pPr>
      <w:pBdr>
        <w:top w:val="nil"/>
        <w:left w:val="nil"/>
        <w:bottom w:val="nil"/>
        <w:right w:val="nil"/>
        <w:between w:val="nil"/>
      </w:pBdr>
      <w:tabs>
        <w:tab w:val="center" w:pos="4819"/>
        <w:tab w:val="right" w:pos="9638"/>
      </w:tabs>
      <w:rPr>
        <w:color w:val="000000"/>
        <w:szCs w:val="24"/>
        <w:lang w:eastAsia="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C0FA7" w14:textId="77777777" w:rsidR="00762438" w:rsidRDefault="00762438">
    <w:pPr>
      <w:tabs>
        <w:tab w:val="center" w:pos="4986"/>
        <w:tab w:val="right" w:pos="9972"/>
      </w:tabs>
      <w:rPr>
        <w:szCs w:val="24"/>
        <w:lang w:eastAsia="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D2"/>
    <w:rsid w:val="00762438"/>
    <w:rsid w:val="00CC22D2"/>
    <w:rsid w:val="00D06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7" Type="http://schemas.microsoft.com/office/2016/09/relationships/commentsIds" Target="commentsIds.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6457</Words>
  <Characters>3681</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2019-03-28T13:26:00Z</dcterms:created>
  <dc:creator>Aida Akudoviciute</dc:creator>
  <lastModifiedBy>ŠAULYTĖ SKAIRIENĖ Dalia</lastModifiedBy>
  <dcterms:modified xsi:type="dcterms:W3CDTF">2019-03-28T13:39:00Z</dcterms:modified>
  <revision>3</revision>
</coreProperties>
</file>