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1ECD6" w14:textId="77777777" w:rsidR="00B669DA" w:rsidRDefault="00B669DA">
      <w:pPr>
        <w:tabs>
          <w:tab w:val="center" w:pos="4819"/>
          <w:tab w:val="right" w:pos="9638"/>
        </w:tabs>
        <w:rPr>
          <w:rFonts w:ascii="Calibri" w:eastAsia="Calibri" w:hAnsi="Calibri"/>
          <w:sz w:val="20"/>
          <w:lang w:eastAsia="lt-LT"/>
        </w:rPr>
      </w:pPr>
    </w:p>
    <w:p w14:paraId="3611ECD7" w14:textId="77777777" w:rsidR="00B669DA" w:rsidRDefault="00553371">
      <w:pPr>
        <w:tabs>
          <w:tab w:val="center" w:pos="4819"/>
          <w:tab w:val="right" w:pos="9638"/>
        </w:tabs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object w:dxaOrig="811" w:dyaOrig="961" w14:anchorId="3611E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7.5pt" o:ole="" fillcolor="window">
            <v:imagedata r:id="rId8" o:title=""/>
          </v:shape>
          <o:OLEObject Type="Embed" ProgID="Word.Picture.8" ShapeID="_x0000_i1025" DrawAspect="Content" ObjectID="_1650112457" r:id="rId9"/>
        </w:object>
      </w:r>
    </w:p>
    <w:p w14:paraId="3611ECD8" w14:textId="77777777" w:rsidR="00B669DA" w:rsidRDefault="00B669DA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</w:p>
    <w:p w14:paraId="3611ECD9" w14:textId="77777777" w:rsidR="00B669DA" w:rsidRDefault="00553371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LIETUVOS RESPUBLIKOS SVEIKATOS APSAUGOS MINISTRAS</w:t>
      </w:r>
    </w:p>
    <w:p w14:paraId="3611ECDA" w14:textId="77777777" w:rsidR="00B669DA" w:rsidRDefault="00B669DA">
      <w:pPr>
        <w:tabs>
          <w:tab w:val="center" w:pos="4819"/>
          <w:tab w:val="right" w:pos="9638"/>
        </w:tabs>
        <w:jc w:val="center"/>
        <w:rPr>
          <w:rFonts w:eastAsia="Calibri"/>
          <w:szCs w:val="24"/>
          <w:lang w:eastAsia="lt-LT"/>
        </w:rPr>
      </w:pPr>
    </w:p>
    <w:p w14:paraId="3611ECDB" w14:textId="77777777" w:rsidR="00B669DA" w:rsidRDefault="00553371">
      <w:pPr>
        <w:tabs>
          <w:tab w:val="center" w:pos="4819"/>
          <w:tab w:val="right" w:pos="9638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ĮSAKYMAS </w:t>
      </w:r>
    </w:p>
    <w:p w14:paraId="3611ECDC" w14:textId="77777777" w:rsidR="00B669DA" w:rsidRDefault="00553371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DĖL LIETUVOS RESPUBLIKOS SVEIKATOS APSAUGOS MINISTRO </w:t>
      </w:r>
      <w:smartTag w:uri="urn:schemas-microsoft-com:office:smarttags" w:element="metricconverter">
        <w:smartTagPr>
          <w:attr w:name="ProductID" w:val="2000 M"/>
        </w:smartTagPr>
        <w:r>
          <w:rPr>
            <w:rFonts w:eastAsia="Calibri"/>
            <w:b/>
            <w:szCs w:val="24"/>
            <w:lang w:eastAsia="lt-LT"/>
          </w:rPr>
          <w:t>2000 M</w:t>
        </w:r>
      </w:smartTag>
      <w:r>
        <w:rPr>
          <w:rFonts w:eastAsia="Calibri"/>
          <w:b/>
          <w:szCs w:val="24"/>
          <w:lang w:eastAsia="lt-LT"/>
        </w:rPr>
        <w:t xml:space="preserve">. </w:t>
      </w:r>
    </w:p>
    <w:p w14:paraId="3611ECDD" w14:textId="77777777" w:rsidR="00B669DA" w:rsidRDefault="00553371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SAUSIO 28 D. ĮSAKYMO NR. 49 „DĖL KOMPENSUOJAMŲJŲ VAISTŲ SĄRAŠŲ PATVIRTINIMO“ PAKEITIMO </w:t>
      </w:r>
    </w:p>
    <w:p w14:paraId="3611ECDE" w14:textId="77777777" w:rsidR="00B669DA" w:rsidRDefault="00B669DA">
      <w:pPr>
        <w:tabs>
          <w:tab w:val="left" w:pos="5660"/>
        </w:tabs>
        <w:ind w:firstLine="5660"/>
        <w:rPr>
          <w:rFonts w:eastAsia="Calibri"/>
          <w:szCs w:val="24"/>
          <w:lang w:eastAsia="lt-LT"/>
        </w:rPr>
      </w:pPr>
    </w:p>
    <w:p w14:paraId="3611ECDF" w14:textId="77777777" w:rsidR="00B669DA" w:rsidRDefault="00553371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2020 m. </w:t>
      </w:r>
      <w:r>
        <w:rPr>
          <w:rFonts w:eastAsia="Calibri"/>
          <w:szCs w:val="24"/>
          <w:lang w:eastAsia="lt-LT"/>
        </w:rPr>
        <w:t>balandžio 30 d. Nr. V-1049</w:t>
      </w:r>
    </w:p>
    <w:p w14:paraId="3611ECE0" w14:textId="77777777" w:rsidR="00B669DA" w:rsidRDefault="00553371">
      <w:pPr>
        <w:jc w:val="center"/>
        <w:rPr>
          <w:rFonts w:eastAsia="Calibri"/>
          <w:sz w:val="20"/>
          <w:lang w:eastAsia="lt-LT"/>
        </w:rPr>
      </w:pPr>
      <w:r>
        <w:rPr>
          <w:rFonts w:eastAsia="Calibri"/>
          <w:szCs w:val="24"/>
          <w:lang w:eastAsia="lt-LT"/>
        </w:rPr>
        <w:t>Vilnius</w:t>
      </w:r>
    </w:p>
    <w:p w14:paraId="3611ECE1" w14:textId="77777777" w:rsidR="00B669DA" w:rsidRDefault="00B669DA">
      <w:pPr>
        <w:ind w:firstLine="709"/>
        <w:jc w:val="both"/>
        <w:rPr>
          <w:rFonts w:eastAsia="Calibri"/>
          <w:szCs w:val="24"/>
          <w:lang w:eastAsia="lt-LT"/>
        </w:rPr>
      </w:pPr>
    </w:p>
    <w:p w14:paraId="27DBA378" w14:textId="77777777" w:rsidR="00553371" w:rsidRDefault="00553371">
      <w:pPr>
        <w:ind w:firstLine="709"/>
        <w:jc w:val="both"/>
        <w:rPr>
          <w:rFonts w:eastAsia="Calibri"/>
          <w:szCs w:val="24"/>
          <w:lang w:eastAsia="lt-LT"/>
        </w:rPr>
      </w:pPr>
    </w:p>
    <w:p w14:paraId="3611ECE2" w14:textId="77777777" w:rsidR="00B669DA" w:rsidRDefault="00553371">
      <w:pPr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Vadovaudamasis Vaistinių preparatų ir medicinos pagalbos priemonių įrašymo į kompensavimo sąrašus ir jų keitimo tvarkos aprašo, patvirtinto Lietuvos Respublikos sveikatos apsaugos ministro 2002 m. balandžio 5 d. įsakymu </w:t>
      </w:r>
      <w:r>
        <w:rPr>
          <w:rFonts w:eastAsia="Calibri"/>
          <w:szCs w:val="24"/>
          <w:lang w:eastAsia="lt-LT"/>
        </w:rPr>
        <w:t xml:space="preserve">Nr. 159 „Dėl Vaistinių preparatų ir medicinos pagalbos priemonių įrašymo į kompensavimo sąrašus ir jų keitimo tvarkos aprašo patvirtinimo“, 67 </w:t>
      </w:r>
      <w:r>
        <w:rPr>
          <w:rFonts w:eastAsia="Calibri"/>
          <w:spacing w:val="4"/>
          <w:szCs w:val="24"/>
          <w:lang w:eastAsia="lt-LT"/>
        </w:rPr>
        <w:t>punktu:</w:t>
      </w:r>
    </w:p>
    <w:p w14:paraId="3611ECE3" w14:textId="77777777" w:rsidR="00B669DA" w:rsidRDefault="00553371">
      <w:pPr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p a k e i č i u Ligų ir kompensuojamųjų vaistų joms gydyti sąrašą (A sąrašą), patvirtintą Lietuvos Resp</w:t>
      </w:r>
      <w:r>
        <w:rPr>
          <w:rFonts w:eastAsia="Calibri"/>
          <w:szCs w:val="24"/>
          <w:lang w:eastAsia="lt-LT"/>
        </w:rPr>
        <w:t>ublikos sveikatos apsaugos ministro 2000 m. sausio 28 d. įsakymu Nr. 49 „Dėl kompensuojamųjų vaistų sąrašų patvirtinimo“:</w:t>
      </w:r>
    </w:p>
    <w:p w14:paraId="3611ECE4" w14:textId="77777777" w:rsidR="00B669DA" w:rsidRDefault="00553371">
      <w:pPr>
        <w:ind w:left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 Pakeičiu II skyriaus „NAVIKAI“ 1 skirsnio 1.101 papunktį ir jį išdėstau taip: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636"/>
        <w:gridCol w:w="1895"/>
        <w:gridCol w:w="1446"/>
        <w:gridCol w:w="4957"/>
      </w:tblGrid>
      <w:tr w:rsidR="00B669DA" w14:paraId="3611ECEC" w14:textId="77777777">
        <w:trPr>
          <w:trHeight w:val="25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E5" w14:textId="77777777" w:rsidR="00B669DA" w:rsidRDefault="0055337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„1.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E6" w14:textId="77777777" w:rsidR="00B669DA" w:rsidRDefault="00553371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101.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E7" w14:textId="77777777" w:rsidR="00B669DA" w:rsidRDefault="00553371">
            <w:pPr>
              <w:rPr>
                <w:rFonts w:eastAsia="Calibri"/>
                <w:i/>
                <w:szCs w:val="24"/>
              </w:rPr>
            </w:pPr>
            <w:proofErr w:type="spellStart"/>
            <w:r>
              <w:rPr>
                <w:rFonts w:eastAsia="Calibri"/>
                <w:i/>
                <w:szCs w:val="24"/>
              </w:rPr>
              <w:t>Atezolizumabum</w:t>
            </w:r>
            <w:proofErr w:type="spellEnd"/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E8" w14:textId="77777777" w:rsidR="00B669DA" w:rsidRDefault="0055337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C34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E9" w14:textId="77777777" w:rsidR="00B669DA" w:rsidRDefault="00553371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Skiriamas:</w:t>
            </w:r>
          </w:p>
          <w:p w14:paraId="3611ECEA" w14:textId="77777777" w:rsidR="00B669DA" w:rsidRDefault="00553371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1) pacientams, sergantiems lokaliai išplitusiu arba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metastazavusiu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nesmulkialąsteliniu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plaučių vėžiu, gydyti, kai liga progresuoja po taikyto gydymo chemoterapija platinos pagrindu. Pacientams, kuriems nustatyta aktyvinančių EGFR mutacijų arba ALK teigiamų</w:t>
            </w:r>
            <w:r>
              <w:rPr>
                <w:rFonts w:eastAsia="Calibri"/>
                <w:color w:val="000000"/>
                <w:szCs w:val="24"/>
              </w:rPr>
              <w:t xml:space="preserve"> naviko mutacijų, prieš pradedant vartoti </w:t>
            </w:r>
            <w:proofErr w:type="spellStart"/>
            <w:r>
              <w:rPr>
                <w:rFonts w:eastAsia="Calibri"/>
                <w:i/>
                <w:color w:val="000000"/>
                <w:szCs w:val="24"/>
              </w:rPr>
              <w:t>atezolizumabum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taip pat turi būti skirtas tikslinis navikų gydymas;</w:t>
            </w:r>
          </w:p>
          <w:p w14:paraId="3611ECEB" w14:textId="77777777" w:rsidR="00B669DA" w:rsidRDefault="00553371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2) derinant su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bevacizumabu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paklitakseliu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ir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karboplatina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suaugusių pacientų, kuriems yra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metastazavęs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neplokščialąstelinis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nesmulkiųjų ląstelių</w:t>
            </w:r>
            <w:r>
              <w:rPr>
                <w:rFonts w:eastAsia="Calibri"/>
                <w:color w:val="000000"/>
                <w:szCs w:val="24"/>
              </w:rPr>
              <w:t xml:space="preserve"> plaučių vėžys, pirmaeiliam gydymui, kai nenustatytos EGFR mutacijos, ALK neigiamas.“</w:t>
            </w:r>
          </w:p>
        </w:tc>
      </w:tr>
    </w:tbl>
    <w:p w14:paraId="3611ECED" w14:textId="77777777" w:rsidR="00B669DA" w:rsidRDefault="00553371"/>
    <w:p w14:paraId="3611ECEE" w14:textId="77777777" w:rsidR="00B669DA" w:rsidRDefault="00553371">
      <w:pPr>
        <w:ind w:left="1020" w:hanging="36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Papildau XII skyriaus „ODOS IR POODŽIO LIGOS“ 5 skirsnį 5.6 papunkčiu: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636"/>
        <w:gridCol w:w="2065"/>
        <w:gridCol w:w="1276"/>
        <w:gridCol w:w="4957"/>
      </w:tblGrid>
      <w:tr w:rsidR="00B669DA" w14:paraId="3611ECF4" w14:textId="77777777">
        <w:trPr>
          <w:trHeight w:val="25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EF" w14:textId="77777777" w:rsidR="00B669DA" w:rsidRDefault="0055337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5.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F0" w14:textId="77777777" w:rsidR="00B669DA" w:rsidRDefault="00553371">
            <w:pPr>
              <w:spacing w:line="276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F1" w14:textId="77777777" w:rsidR="00B669DA" w:rsidRDefault="00553371">
            <w:pPr>
              <w:rPr>
                <w:rFonts w:eastAsia="Calibri"/>
                <w:i/>
                <w:szCs w:val="24"/>
              </w:rPr>
            </w:pPr>
            <w:proofErr w:type="spellStart"/>
            <w:r>
              <w:rPr>
                <w:rFonts w:eastAsia="Calibri"/>
                <w:i/>
                <w:szCs w:val="24"/>
              </w:rPr>
              <w:t>Ciclosporinum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F2" w14:textId="77777777" w:rsidR="00B669DA" w:rsidRDefault="0055337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L20“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F3" w14:textId="77777777" w:rsidR="00B669DA" w:rsidRDefault="00B669DA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14:paraId="3611ECF5" w14:textId="77777777" w:rsidR="00B669DA" w:rsidRDefault="00553371"/>
    <w:p w14:paraId="3611ECF6" w14:textId="77777777" w:rsidR="00B669DA" w:rsidRDefault="00553371">
      <w:pPr>
        <w:ind w:firstLine="66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rFonts w:eastAsia="Calibri"/>
          <w:szCs w:val="24"/>
        </w:rPr>
        <w:t xml:space="preserve">Papildau XIII skyriaus „JUNGIAMOJO AUDINIO IR </w:t>
      </w:r>
      <w:r>
        <w:rPr>
          <w:rFonts w:eastAsia="Calibri"/>
          <w:szCs w:val="24"/>
        </w:rPr>
        <w:t>SKELETO-RAUMENŲ SISTEMOS LIGOS“ 8 skirsnį 8.8 papunkčiu: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6"/>
        <w:gridCol w:w="636"/>
        <w:gridCol w:w="2065"/>
        <w:gridCol w:w="1276"/>
        <w:gridCol w:w="4957"/>
      </w:tblGrid>
      <w:tr w:rsidR="00B669DA" w14:paraId="3611ECFC" w14:textId="77777777">
        <w:trPr>
          <w:trHeight w:val="257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F7" w14:textId="77777777" w:rsidR="00B669DA" w:rsidRDefault="0055337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8.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F8" w14:textId="77777777" w:rsidR="00B669DA" w:rsidRDefault="00553371">
            <w:pPr>
              <w:spacing w:line="276" w:lineRule="auto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2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F9" w14:textId="77777777" w:rsidR="00B669DA" w:rsidRDefault="00553371">
            <w:pPr>
              <w:rPr>
                <w:rFonts w:eastAsia="Calibri"/>
                <w:i/>
                <w:szCs w:val="24"/>
              </w:rPr>
            </w:pPr>
            <w:proofErr w:type="spellStart"/>
            <w:r>
              <w:rPr>
                <w:rFonts w:eastAsia="Calibri"/>
                <w:i/>
                <w:szCs w:val="24"/>
              </w:rPr>
              <w:t>Secukinumabum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FA" w14:textId="77777777" w:rsidR="00B669DA" w:rsidRDefault="0055337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M07</w:t>
            </w:r>
          </w:p>
        </w:tc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ECFB" w14:textId="77777777" w:rsidR="00B669DA" w:rsidRDefault="0055337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Skiriamas  sveikatos apsaugos ministro nustatyta tvarka.“</w:t>
            </w:r>
          </w:p>
        </w:tc>
      </w:tr>
    </w:tbl>
    <w:p w14:paraId="3611ECFE" w14:textId="77777777" w:rsidR="00B669DA" w:rsidRDefault="00553371">
      <w:pPr>
        <w:rPr>
          <w:sz w:val="18"/>
          <w:szCs w:val="18"/>
        </w:rPr>
      </w:pPr>
    </w:p>
    <w:p w14:paraId="301AEF83" w14:textId="77777777" w:rsidR="00553371" w:rsidRDefault="00553371">
      <w:pPr>
        <w:jc w:val="both"/>
      </w:pPr>
    </w:p>
    <w:p w14:paraId="3EE4993B" w14:textId="77777777" w:rsidR="00553371" w:rsidRDefault="00553371">
      <w:pPr>
        <w:jc w:val="both"/>
      </w:pPr>
    </w:p>
    <w:p w14:paraId="62D74380" w14:textId="77777777" w:rsidR="00553371" w:rsidRDefault="00553371">
      <w:pPr>
        <w:jc w:val="both"/>
      </w:pPr>
    </w:p>
    <w:p w14:paraId="3611ED01" w14:textId="3BC919E1" w:rsidR="00B669DA" w:rsidRDefault="00553371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Sveikatos apsaugos ministras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   Aurelijus </w:t>
      </w:r>
      <w:proofErr w:type="spellStart"/>
      <w:r>
        <w:rPr>
          <w:rFonts w:eastAsia="Calibri"/>
          <w:szCs w:val="24"/>
        </w:rPr>
        <w:t>Veryga</w:t>
      </w:r>
      <w:proofErr w:type="spellEnd"/>
    </w:p>
    <w:bookmarkStart w:id="0" w:name="_GoBack" w:displacedByCustomXml="next"/>
    <w:bookmarkEnd w:id="0" w:displacedByCustomXml="next"/>
    <w:sectPr w:rsidR="00B669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ED05" w14:textId="77777777" w:rsidR="00B669DA" w:rsidRDefault="0055337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3611ED06" w14:textId="77777777" w:rsidR="00B669DA" w:rsidRDefault="0055337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ED0A" w14:textId="77777777" w:rsidR="00B669DA" w:rsidRDefault="00B669DA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ED0B" w14:textId="77777777" w:rsidR="00B669DA" w:rsidRDefault="00B669DA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ED0D" w14:textId="77777777" w:rsidR="00B669DA" w:rsidRDefault="00B669DA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1ED03" w14:textId="77777777" w:rsidR="00B669DA" w:rsidRDefault="0055337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3611ED04" w14:textId="77777777" w:rsidR="00B669DA" w:rsidRDefault="0055337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ED07" w14:textId="77777777" w:rsidR="00B669DA" w:rsidRDefault="00B669DA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ED08" w14:textId="77777777" w:rsidR="00B669DA" w:rsidRDefault="00553371">
    <w:pPr>
      <w:tabs>
        <w:tab w:val="center" w:pos="4819"/>
        <w:tab w:val="right" w:pos="9638"/>
      </w:tabs>
      <w:jc w:val="center"/>
      <w:rPr>
        <w:rFonts w:ascii="Calibri" w:eastAsia="Calibri" w:hAnsi="Calibri"/>
        <w:sz w:val="20"/>
        <w:lang w:eastAsia="lt-LT"/>
      </w:rPr>
    </w:pPr>
    <w:r>
      <w:rPr>
        <w:rFonts w:ascii="Calibri" w:eastAsia="Calibri" w:hAnsi="Calibri"/>
        <w:sz w:val="20"/>
        <w:lang w:eastAsia="lt-LT"/>
      </w:rPr>
      <w:fldChar w:fldCharType="begin"/>
    </w:r>
    <w:r>
      <w:rPr>
        <w:rFonts w:ascii="Calibri" w:eastAsia="Calibri" w:hAnsi="Calibri"/>
        <w:sz w:val="20"/>
        <w:lang w:eastAsia="lt-LT"/>
      </w:rPr>
      <w:instrText>PAGE   \* MERGEFORMAT</w:instrText>
    </w:r>
    <w:r>
      <w:rPr>
        <w:rFonts w:ascii="Calibri" w:eastAsia="Calibri" w:hAnsi="Calibri"/>
        <w:sz w:val="20"/>
        <w:lang w:eastAsia="lt-LT"/>
      </w:rPr>
      <w:fldChar w:fldCharType="separate"/>
    </w:r>
    <w:r>
      <w:rPr>
        <w:rFonts w:ascii="Calibri" w:eastAsia="Calibri" w:hAnsi="Calibri"/>
        <w:noProof/>
        <w:sz w:val="20"/>
        <w:lang w:eastAsia="lt-LT"/>
      </w:rPr>
      <w:t>2</w:t>
    </w:r>
    <w:r>
      <w:rPr>
        <w:rFonts w:ascii="Calibri" w:eastAsia="Calibri" w:hAnsi="Calibri"/>
        <w:sz w:val="20"/>
        <w:lang w:eastAsia="lt-LT"/>
      </w:rPr>
      <w:fldChar w:fldCharType="end"/>
    </w:r>
  </w:p>
  <w:p w14:paraId="3611ED09" w14:textId="77777777" w:rsidR="00B669DA" w:rsidRDefault="00B669DA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ED0C" w14:textId="77777777" w:rsidR="00B669DA" w:rsidRDefault="00B669DA">
    <w:pPr>
      <w:tabs>
        <w:tab w:val="center" w:pos="4819"/>
        <w:tab w:val="right" w:pos="9638"/>
      </w:tabs>
      <w:rPr>
        <w:rFonts w:ascii="Calibri" w:eastAsia="Calibri" w:hAnsi="Calibri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CA"/>
    <w:rsid w:val="00553371"/>
    <w:rsid w:val="00A96BCA"/>
    <w:rsid w:val="00B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11E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2020-05-04T10:03:00Z</dcterms:created>
  <dc:creator>tomasevic</dc:creator>
  <lastModifiedBy>PAPINIGIENĖ Augustė</lastModifiedBy>
  <lastPrinted>2020-04-15T13:29:00Z</lastPrinted>
  <dcterms:modified xsi:type="dcterms:W3CDTF">2020-05-04T12:48:00Z</dcterms:modified>
  <revision>3</revision>
</coreProperties>
</file>