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9E918BE" wp14:editId="5E6722E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ANTSTOLIŲ ĮSTATYMO NR. IX-876 21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XIII-1606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szCs w:val="24"/>
        </w:rPr>
        <w:t>21</w:t>
      </w:r>
      <w:r>
        <w:rPr>
          <w:b/>
          <w:szCs w:val="24"/>
          <w:vertAlign w:val="superscript"/>
        </w:rPr>
        <w:t xml:space="preserve"> </w:t>
      </w:r>
      <w:r>
        <w:rPr>
          <w:b/>
          <w:szCs w:val="24"/>
        </w:rPr>
        <w:t>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21 straipsnio 6 dalį ir ją išdėstyti taip: 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Vykdymo išlaidų dydį, apskaičiavimo ir apmokėjimo tvarką nustato Teisingumo ministerija, suderinusi su Finansų ministerija.“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4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404</Characters>
  <Application>Microsoft Office Word</Application>
  <DocSecurity>4</DocSecurity>
  <Lines>22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2018-11-20T12:06:00Z</dcterms:created>
  <dc:creator>KONCIJALOVIENĖ Rita</dc:creator>
  <lastModifiedBy>adlibuser</lastModifiedBy>
  <lastPrinted>2018-11-09T08:58:00Z</lastPrinted>
  <dcterms:modified xsi:type="dcterms:W3CDTF">2018-11-20T12:06:00Z</dcterms:modified>
  <revision>2</revision>
</coreProperties>
</file>