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Cs w:val="24"/>
        </w:rPr>
        <w:alias w:val="pagrindine"/>
        <w:tag w:val="part_d468631238a5420e8d0d972dcef1db06"/>
        <w:id w:val="-1383321816"/>
        <w:lock w:val="sdtLocked"/>
      </w:sdtPr>
      <w:sdtEndPr>
        <w:rPr>
          <w:szCs w:val="20"/>
        </w:rPr>
      </w:sdtEndPr>
      <w:sdtContent>
        <w:p w14:paraId="3E560B92" w14:textId="2491A927" w:rsidR="00BB19A4" w:rsidRPr="002E3275" w:rsidRDefault="002E3275" w:rsidP="00F727C0">
          <w:pPr>
            <w:jc w:val="center"/>
            <w:rPr>
              <w:b/>
              <w:caps/>
              <w:szCs w:val="24"/>
            </w:rPr>
          </w:pPr>
          <w:r w:rsidRPr="002E3275">
            <w:rPr>
              <w:b/>
              <w:szCs w:val="24"/>
            </w:rPr>
            <w:t>AUDITO, APSKAITOS, TURTO VERTINIMO IR NEMOKUMO VALDYMO TARNYBOS PRIE LIETUVOS RESPUBLIKOS FINANSŲ MINISTERIJOS DIREKTORIUS</w:t>
          </w:r>
        </w:p>
        <w:p w14:paraId="3E560B94" w14:textId="77777777" w:rsidR="00BB19A4" w:rsidRPr="002E3275" w:rsidRDefault="00BB19A4" w:rsidP="00F727C0">
          <w:pPr>
            <w:jc w:val="center"/>
            <w:rPr>
              <w:b/>
              <w:szCs w:val="24"/>
            </w:rPr>
          </w:pPr>
        </w:p>
        <w:p w14:paraId="3E560B95" w14:textId="77777777" w:rsidR="00BB19A4" w:rsidRPr="002E3275" w:rsidRDefault="002E3275" w:rsidP="00F727C0">
          <w:pPr>
            <w:jc w:val="center"/>
            <w:rPr>
              <w:b/>
              <w:szCs w:val="24"/>
            </w:rPr>
          </w:pPr>
          <w:r w:rsidRPr="002E3275">
            <w:rPr>
              <w:b/>
              <w:szCs w:val="24"/>
            </w:rPr>
            <w:t>ĮSAKYMAS</w:t>
          </w:r>
        </w:p>
        <w:p w14:paraId="3E560B96" w14:textId="77777777" w:rsidR="00BB19A4" w:rsidRPr="002E3275" w:rsidRDefault="002E3275" w:rsidP="00F727C0">
          <w:pPr>
            <w:jc w:val="center"/>
            <w:rPr>
              <w:color w:val="000000"/>
              <w:szCs w:val="24"/>
              <w:lang w:eastAsia="lt-LT"/>
            </w:rPr>
          </w:pPr>
          <w:r w:rsidRPr="002E3275">
            <w:rPr>
              <w:b/>
              <w:color w:val="000000"/>
              <w:szCs w:val="24"/>
              <w:lang w:eastAsia="lt-LT"/>
            </w:rPr>
            <w:t>DĖL AUDITO IR APSKAITOS TARNYBOS DIREKTORIAUS 2015 M. BALANDŽIO 13 D. ĮSAKYMO Nr. VAS-15 „</w:t>
          </w:r>
          <w:r w:rsidRPr="002E3275">
            <w:rPr>
              <w:b/>
              <w:bCs/>
              <w:szCs w:val="24"/>
              <w:lang w:eastAsia="lt-LT"/>
            </w:rPr>
            <w:t>DĖL PAVYZDINIO SĄSKAITŲ PLANO PATVIRTINIMO</w:t>
          </w:r>
          <w:r w:rsidRPr="002E3275">
            <w:rPr>
              <w:b/>
              <w:color w:val="000000"/>
              <w:szCs w:val="24"/>
              <w:lang w:eastAsia="lt-LT"/>
            </w:rPr>
            <w:t>“ PAKEITIMO</w:t>
          </w:r>
        </w:p>
        <w:p w14:paraId="3E560B97" w14:textId="77777777" w:rsidR="00BB19A4" w:rsidRPr="002E3275" w:rsidRDefault="00BB19A4" w:rsidP="00F727C0">
          <w:pPr>
            <w:jc w:val="center"/>
            <w:rPr>
              <w:szCs w:val="24"/>
            </w:rPr>
          </w:pPr>
        </w:p>
        <w:p w14:paraId="3E560B98" w14:textId="77777777" w:rsidR="00BB19A4" w:rsidRPr="002E3275" w:rsidRDefault="002E3275" w:rsidP="00F727C0">
          <w:pPr>
            <w:jc w:val="center"/>
            <w:rPr>
              <w:szCs w:val="24"/>
            </w:rPr>
          </w:pPr>
          <w:r w:rsidRPr="002E3275">
            <w:rPr>
              <w:szCs w:val="24"/>
            </w:rPr>
            <w:t>2016 m. sausio 28 d. Nr. V2-1</w:t>
          </w:r>
        </w:p>
        <w:p w14:paraId="3E560B99" w14:textId="77777777" w:rsidR="00BB19A4" w:rsidRPr="002E3275" w:rsidRDefault="002E3275" w:rsidP="00F727C0">
          <w:pPr>
            <w:jc w:val="center"/>
            <w:rPr>
              <w:szCs w:val="24"/>
            </w:rPr>
          </w:pPr>
          <w:r w:rsidRPr="002E3275">
            <w:rPr>
              <w:szCs w:val="24"/>
            </w:rPr>
            <w:t>Vilnius</w:t>
          </w:r>
        </w:p>
        <w:p w14:paraId="3E560B9A" w14:textId="77777777" w:rsidR="00BB19A4" w:rsidRPr="002E3275" w:rsidRDefault="00BB19A4" w:rsidP="00F727C0">
          <w:pPr>
            <w:jc w:val="center"/>
            <w:rPr>
              <w:szCs w:val="24"/>
            </w:rPr>
          </w:pPr>
        </w:p>
        <w:p w14:paraId="3E560B9B" w14:textId="77777777" w:rsidR="00BB19A4" w:rsidRPr="002E3275" w:rsidRDefault="00BB19A4" w:rsidP="00F727C0">
          <w:pPr>
            <w:jc w:val="center"/>
            <w:rPr>
              <w:szCs w:val="24"/>
            </w:rPr>
          </w:pPr>
        </w:p>
        <w:sdt>
          <w:sdtPr>
            <w:rPr>
              <w:szCs w:val="24"/>
            </w:rPr>
            <w:alias w:val="preambule"/>
            <w:tag w:val="part_3921bc0030094a8cb8b0c7fd296322e5"/>
            <w:id w:val="916048924"/>
            <w:lock w:val="sdtLocked"/>
          </w:sdtPr>
          <w:sdtEndPr/>
          <w:sdtContent>
            <w:p w14:paraId="3E560B9D" w14:textId="1A8DC97C" w:rsidR="00BB19A4" w:rsidRPr="002E3275" w:rsidRDefault="002E3275" w:rsidP="002E3275">
              <w:pPr>
                <w:tabs>
                  <w:tab w:val="left" w:pos="652"/>
                </w:tabs>
                <w:spacing w:line="276" w:lineRule="auto"/>
                <w:ind w:firstLine="709"/>
                <w:jc w:val="both"/>
                <w:rPr>
                  <w:szCs w:val="24"/>
                </w:rPr>
              </w:pPr>
              <w:r w:rsidRPr="002E3275">
                <w:rPr>
                  <w:szCs w:val="24"/>
                </w:rPr>
                <w:t>Vadovaudamasis Lietuvos Respublikos buhalterinės apskaitos įstatymo 3</w:t>
              </w:r>
              <w:r w:rsidRPr="002E3275">
                <w:rPr>
                  <w:szCs w:val="24"/>
                  <w:vertAlign w:val="superscript"/>
                </w:rPr>
                <w:t>1  </w:t>
              </w:r>
              <w:r w:rsidRPr="002E3275">
                <w:rPr>
                  <w:szCs w:val="24"/>
                </w:rPr>
                <w:t>straipsnio 4 dalimi ir Lietuvos Respublikos Vyriausybės 2002 m. kovo 12 d. nutarimo Nr. 348 „Dėl įgaliojimų suteikimo įgyvendinant Lietuvos Respublikos buhalterinės apskaitos įstatymą ir Lietuvos Respublikos įmonių finansinės atskaitomybės įstatymą“ 1.1.2 punktu,</w:t>
              </w:r>
            </w:p>
          </w:sdtContent>
        </w:sdt>
        <w:sdt>
          <w:sdtPr>
            <w:rPr>
              <w:szCs w:val="24"/>
            </w:rPr>
            <w:alias w:val="pastraipa"/>
            <w:tag w:val="part_07756e5331ec4d80953e2583c7ab096f"/>
            <w:id w:val="1311446392"/>
            <w:lock w:val="sdtLocked"/>
          </w:sdtPr>
          <w:sdtEndPr/>
          <w:sdtContent>
            <w:p w14:paraId="3E560B9F" w14:textId="44AE6EE3" w:rsidR="00BB19A4" w:rsidRPr="002E3275" w:rsidRDefault="002E3275" w:rsidP="002E3275">
              <w:pPr>
                <w:tabs>
                  <w:tab w:val="left" w:pos="1134"/>
                </w:tabs>
                <w:spacing w:line="276" w:lineRule="auto"/>
                <w:ind w:firstLine="709"/>
                <w:jc w:val="both"/>
                <w:rPr>
                  <w:rFonts w:ascii="Calibri" w:eastAsia="Calibri" w:hAnsi="Calibri"/>
                  <w:szCs w:val="24"/>
                </w:rPr>
              </w:pPr>
              <w:r w:rsidRPr="002E3275">
                <w:rPr>
                  <w:rFonts w:eastAsia="Calibri"/>
                  <w:spacing w:val="50"/>
                  <w:szCs w:val="24"/>
                </w:rPr>
                <w:t>pakeičiu</w:t>
              </w:r>
              <w:r w:rsidRPr="002E3275">
                <w:rPr>
                  <w:rFonts w:eastAsia="Calibri"/>
                  <w:szCs w:val="24"/>
                </w:rPr>
                <w:t xml:space="preserve"> Audito ir apskaitos tarnybos direktoriaus 2015 m. balandžio 13 d. įsakymu Nr. VAS-15 „Dėl </w:t>
              </w:r>
              <w:r w:rsidRPr="002E3275">
                <w:rPr>
                  <w:rFonts w:eastAsia="Calibri"/>
                  <w:bCs/>
                  <w:szCs w:val="24"/>
                </w:rPr>
                <w:t>pavyzdinio sąskaitų plano patvirtinimo</w:t>
              </w:r>
              <w:r w:rsidRPr="002E3275">
                <w:rPr>
                  <w:rFonts w:eastAsia="Calibri"/>
                  <w:szCs w:val="24"/>
                </w:rPr>
                <w:t xml:space="preserve">“ patvirtinto </w:t>
              </w:r>
              <w:r w:rsidRPr="002E3275">
                <w:rPr>
                  <w:rFonts w:eastAsia="Calibri"/>
                  <w:bCs/>
                  <w:szCs w:val="24"/>
                </w:rPr>
                <w:t xml:space="preserve">pavyzdinio sąskaitų plano 6800, 68001, 68002, 6801 ir 6802 sąskaitų pavadinimus </w:t>
              </w:r>
              <w:r w:rsidRPr="002E3275">
                <w:rPr>
                  <w:rFonts w:eastAsia="Calibri"/>
                  <w:szCs w:val="24"/>
                </w:rPr>
                <w:t>ir išdėstau juos taip:</w:t>
              </w:r>
            </w:p>
            <w:sdt>
              <w:sdtPr>
                <w:rPr>
                  <w:szCs w:val="24"/>
                </w:rPr>
                <w:alias w:val="citata"/>
                <w:tag w:val="part_e4ae8c9b589c4f5c86b34f8f013c61a2"/>
                <w:id w:val="-536434388"/>
                <w:lock w:val="sdtLocked"/>
              </w:sdtPr>
              <w:sdtEndPr/>
              <w:sdtContent>
                <w:sdt>
                  <w:sdtPr>
                    <w:rPr>
                      <w:szCs w:val="24"/>
                    </w:rPr>
                    <w:alias w:val="pastraipa"/>
                    <w:tag w:val="part_8bfefcbd032e4bdd8c357df56442a11a"/>
                    <w:id w:val="-1184975064"/>
                    <w:lock w:val="sdtLocked"/>
                  </w:sdtPr>
                  <w:sdtEndPr/>
                  <w:sdtContent>
                    <w:p w14:paraId="3E560BA1" w14:textId="1C8EC8E2" w:rsidR="00BB19A4" w:rsidRPr="002E3275" w:rsidRDefault="002E3275" w:rsidP="002E3275">
                      <w:pPr>
                        <w:tabs>
                          <w:tab w:val="left" w:pos="1134"/>
                        </w:tabs>
                        <w:spacing w:line="276" w:lineRule="auto"/>
                        <w:ind w:firstLine="709"/>
                        <w:rPr>
                          <w:rFonts w:eastAsia="Calibri"/>
                          <w:szCs w:val="24"/>
                        </w:rPr>
                      </w:pPr>
                      <w:r w:rsidRPr="002E3275">
                        <w:rPr>
                          <w:rFonts w:eastAsia="Calibri"/>
                          <w:szCs w:val="24"/>
                        </w:rPr>
                        <w:t>„6800  Įmonių grupės įmonių suteiktų paskolų palūkanų sąnaudos</w:t>
                      </w:r>
                    </w:p>
                  </w:sdtContent>
                </w:sdt>
                <w:sdt>
                  <w:sdtPr>
                    <w:rPr>
                      <w:szCs w:val="24"/>
                    </w:rPr>
                    <w:alias w:val="pastraipa"/>
                    <w:tag w:val="part_971366251ad9478d8f340adfd7cac31b"/>
                    <w:id w:val="-336692697"/>
                    <w:lock w:val="sdtLocked"/>
                  </w:sdtPr>
                  <w:sdtEndPr/>
                  <w:sdtContent>
                    <w:p w14:paraId="3E560BA3" w14:textId="46FFF99A" w:rsidR="00BB19A4" w:rsidRPr="002E3275" w:rsidRDefault="002E3275" w:rsidP="002E3275">
                      <w:pPr>
                        <w:tabs>
                          <w:tab w:val="left" w:pos="1134"/>
                        </w:tabs>
                        <w:spacing w:line="276" w:lineRule="auto"/>
                        <w:ind w:firstLine="709"/>
                        <w:rPr>
                          <w:rFonts w:eastAsia="Calibri"/>
                          <w:szCs w:val="24"/>
                        </w:rPr>
                      </w:pPr>
                      <w:r w:rsidRPr="002E3275">
                        <w:rPr>
                          <w:rFonts w:eastAsia="Calibri"/>
                          <w:szCs w:val="24"/>
                        </w:rPr>
                        <w:t>68001  Patronuojančiosios įmonės suteiktų paskolų palūkanų sąnaudos</w:t>
                      </w:r>
                    </w:p>
                  </w:sdtContent>
                </w:sdt>
                <w:sdt>
                  <w:sdtPr>
                    <w:rPr>
                      <w:szCs w:val="24"/>
                    </w:rPr>
                    <w:alias w:val="pastraipa"/>
                    <w:tag w:val="part_27f63d15451346f5a320c0286ace196c"/>
                    <w:id w:val="-1955237729"/>
                    <w:lock w:val="sdtLocked"/>
                  </w:sdtPr>
                  <w:sdtEndPr/>
                  <w:sdtContent>
                    <w:p w14:paraId="3E560BA5" w14:textId="62D93AB5" w:rsidR="00BB19A4" w:rsidRPr="002E3275" w:rsidRDefault="002E3275" w:rsidP="002E3275">
                      <w:pPr>
                        <w:tabs>
                          <w:tab w:val="left" w:pos="1134"/>
                        </w:tabs>
                        <w:spacing w:line="276" w:lineRule="auto"/>
                        <w:ind w:firstLine="709"/>
                        <w:rPr>
                          <w:rFonts w:eastAsia="Calibri"/>
                          <w:szCs w:val="24"/>
                        </w:rPr>
                      </w:pPr>
                      <w:r w:rsidRPr="002E3275">
                        <w:rPr>
                          <w:rFonts w:eastAsia="Calibri"/>
                          <w:szCs w:val="24"/>
                        </w:rPr>
                        <w:t>68002  Patronuojamųjų įmonių suteiktų paskolų palūkanų sąnaudos</w:t>
                      </w:r>
                    </w:p>
                  </w:sdtContent>
                </w:sdt>
                <w:sdt>
                  <w:sdtPr>
                    <w:rPr>
                      <w:szCs w:val="24"/>
                    </w:rPr>
                    <w:alias w:val="pastraipa"/>
                    <w:tag w:val="part_bff5dcad341d4a1fb2083ffe9bc5f354"/>
                    <w:id w:val="-323274549"/>
                    <w:lock w:val="sdtLocked"/>
                  </w:sdtPr>
                  <w:sdtEndPr/>
                  <w:sdtContent>
                    <w:p w14:paraId="3E560BA7" w14:textId="49B22658" w:rsidR="00BB19A4" w:rsidRPr="002E3275" w:rsidRDefault="002E3275" w:rsidP="002E3275">
                      <w:pPr>
                        <w:tabs>
                          <w:tab w:val="left" w:pos="1134"/>
                        </w:tabs>
                        <w:spacing w:line="276" w:lineRule="auto"/>
                        <w:ind w:firstLine="709"/>
                        <w:rPr>
                          <w:rFonts w:eastAsia="Calibri"/>
                          <w:szCs w:val="24"/>
                        </w:rPr>
                      </w:pPr>
                      <w:r w:rsidRPr="002E3275">
                        <w:rPr>
                          <w:rFonts w:eastAsia="Calibri"/>
                          <w:szCs w:val="24"/>
                        </w:rPr>
                        <w:t>6801  Asocijuotųjų įmonių suteiktų paskolų palūkanų sąnaudos</w:t>
                      </w:r>
                    </w:p>
                  </w:sdtContent>
                </w:sdt>
                <w:sdt>
                  <w:sdtPr>
                    <w:rPr>
                      <w:szCs w:val="24"/>
                    </w:rPr>
                    <w:alias w:val="pastraipa"/>
                    <w:tag w:val="part_035ef3a6d3b2407a9148d19dae184f54"/>
                    <w:id w:val="476734972"/>
                    <w:lock w:val="sdtLocked"/>
                  </w:sdtPr>
                  <w:sdtEndPr/>
                  <w:sdtContent>
                    <w:p w14:paraId="3E560BAB" w14:textId="7141901B" w:rsidR="00BB19A4" w:rsidRPr="002E3275" w:rsidRDefault="002E3275" w:rsidP="00F727C0">
                      <w:pPr>
                        <w:tabs>
                          <w:tab w:val="left" w:pos="1134"/>
                        </w:tabs>
                        <w:spacing w:line="276" w:lineRule="auto"/>
                        <w:ind w:firstLine="709"/>
                        <w:rPr>
                          <w:szCs w:val="24"/>
                        </w:rPr>
                      </w:pPr>
                      <w:r w:rsidRPr="002E3275">
                        <w:rPr>
                          <w:rFonts w:eastAsia="Calibri"/>
                          <w:szCs w:val="24"/>
                        </w:rPr>
                        <w:t>6802  Kitų įmonių suteiktų paskolų palūkanų sąnaudos“.</w:t>
                      </w:r>
                    </w:p>
                  </w:sdtContent>
                </w:sdt>
              </w:sdtContent>
            </w:sdt>
          </w:sdtContent>
        </w:sdt>
        <w:sdt>
          <w:sdtPr>
            <w:rPr>
              <w:szCs w:val="24"/>
            </w:rPr>
            <w:alias w:val="signatura"/>
            <w:tag w:val="part_fc8fe766728c454a96e592ec519bd96e"/>
            <w:id w:val="-224833674"/>
            <w:lock w:val="sdtLocked"/>
          </w:sdtPr>
          <w:sdtEndPr>
            <w:rPr>
              <w:szCs w:val="20"/>
            </w:rPr>
          </w:sdtEndPr>
          <w:sdtContent>
            <w:bookmarkStart w:id="0" w:name="_GoBack" w:displacedByCustomXml="prev"/>
            <w:p w14:paraId="23159FF7" w14:textId="77777777" w:rsidR="00F727C0" w:rsidRDefault="00F727C0" w:rsidP="002E3275">
              <w:pPr>
                <w:tabs>
                  <w:tab w:val="left" w:pos="7938"/>
                </w:tabs>
                <w:rPr>
                  <w:szCs w:val="24"/>
                </w:rPr>
              </w:pPr>
            </w:p>
            <w:p w14:paraId="00C213E5" w14:textId="77777777" w:rsidR="00F727C0" w:rsidRDefault="00F727C0" w:rsidP="002E3275">
              <w:pPr>
                <w:tabs>
                  <w:tab w:val="left" w:pos="7938"/>
                </w:tabs>
                <w:rPr>
                  <w:szCs w:val="24"/>
                </w:rPr>
              </w:pPr>
            </w:p>
            <w:p w14:paraId="3081F09D" w14:textId="77777777" w:rsidR="00F727C0" w:rsidRDefault="00F727C0" w:rsidP="002E3275">
              <w:pPr>
                <w:tabs>
                  <w:tab w:val="left" w:pos="7938"/>
                </w:tabs>
                <w:rPr>
                  <w:szCs w:val="24"/>
                </w:rPr>
              </w:pPr>
            </w:p>
            <w:p w14:paraId="3E560BB8" w14:textId="0FA67ACF" w:rsidR="00BB19A4" w:rsidRDefault="002E3275" w:rsidP="002E3275">
              <w:pPr>
                <w:tabs>
                  <w:tab w:val="left" w:pos="7938"/>
                </w:tabs>
                <w:rPr>
                  <w:szCs w:val="24"/>
                </w:rPr>
              </w:pPr>
              <w:r w:rsidRPr="002E3275">
                <w:rPr>
                  <w:szCs w:val="24"/>
                </w:rPr>
                <w:t>Direktorius</w:t>
              </w:r>
              <w:r w:rsidRPr="002E3275">
                <w:rPr>
                  <w:szCs w:val="24"/>
                </w:rPr>
                <w:tab/>
                <w:t>Audrius Linartas</w:t>
              </w:r>
            </w:p>
            <w:bookmarkEnd w:id="0" w:displacedByCustomXml="next"/>
          </w:sdtContent>
        </w:sdt>
      </w:sdtContent>
    </w:sdt>
    <w:sectPr w:rsidR="00BB19A4">
      <w:footerReference w:type="default" r:id="rId9"/>
      <w:type w:val="continuous"/>
      <w:pgSz w:w="11906" w:h="16838" w:code="9"/>
      <w:pgMar w:top="993" w:right="566" w:bottom="1134" w:left="1701" w:header="993"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60BBB" w14:textId="77777777" w:rsidR="00BB19A4" w:rsidRDefault="002E3275">
      <w:r>
        <w:separator/>
      </w:r>
    </w:p>
  </w:endnote>
  <w:endnote w:type="continuationSeparator" w:id="0">
    <w:p w14:paraId="3E560BBC" w14:textId="77777777" w:rsidR="00BB19A4" w:rsidRDefault="002E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60BBD" w14:textId="77777777" w:rsidR="00BB19A4" w:rsidRDefault="00BB19A4">
    <w:pPr>
      <w:tabs>
        <w:tab w:val="center" w:pos="4820"/>
        <w:tab w:val="right" w:pos="9639"/>
      </w:tabs>
      <w:jc w:val="both"/>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60BB9" w14:textId="77777777" w:rsidR="00BB19A4" w:rsidRDefault="002E3275">
      <w:r>
        <w:separator/>
      </w:r>
    </w:p>
  </w:footnote>
  <w:footnote w:type="continuationSeparator" w:id="0">
    <w:p w14:paraId="3E560BBA" w14:textId="77777777" w:rsidR="00BB19A4" w:rsidRDefault="002E32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4D"/>
    <w:rsid w:val="00275206"/>
    <w:rsid w:val="002E3275"/>
    <w:rsid w:val="006E444D"/>
    <w:rsid w:val="00BB19A4"/>
    <w:rsid w:val="00F727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E56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4655">
      <w:bodyDiv w:val="1"/>
      <w:marLeft w:val="225"/>
      <w:marRight w:val="225"/>
      <w:marTop w:val="0"/>
      <w:marBottom w:val="0"/>
      <w:divBdr>
        <w:top w:val="none" w:sz="0" w:space="0" w:color="auto"/>
        <w:left w:val="none" w:sz="0" w:space="0" w:color="auto"/>
        <w:bottom w:val="none" w:sz="0" w:space="0" w:color="auto"/>
        <w:right w:val="none" w:sz="0" w:space="0" w:color="auto"/>
      </w:divBdr>
      <w:divsChild>
        <w:div w:id="295794917">
          <w:marLeft w:val="0"/>
          <w:marRight w:val="0"/>
          <w:marTop w:val="0"/>
          <w:marBottom w:val="0"/>
          <w:divBdr>
            <w:top w:val="none" w:sz="0" w:space="0" w:color="auto"/>
            <w:left w:val="none" w:sz="0" w:space="0" w:color="auto"/>
            <w:bottom w:val="none" w:sz="0" w:space="0" w:color="auto"/>
            <w:right w:val="none" w:sz="0" w:space="0" w:color="auto"/>
          </w:divBdr>
        </w:div>
      </w:divsChild>
    </w:div>
    <w:div w:id="101994172">
      <w:bodyDiv w:val="1"/>
      <w:marLeft w:val="225"/>
      <w:marRight w:val="225"/>
      <w:marTop w:val="0"/>
      <w:marBottom w:val="0"/>
      <w:divBdr>
        <w:top w:val="none" w:sz="0" w:space="0" w:color="auto"/>
        <w:left w:val="none" w:sz="0" w:space="0" w:color="auto"/>
        <w:bottom w:val="none" w:sz="0" w:space="0" w:color="auto"/>
        <w:right w:val="none" w:sz="0" w:space="0" w:color="auto"/>
      </w:divBdr>
      <w:divsChild>
        <w:div w:id="1905020954">
          <w:marLeft w:val="0"/>
          <w:marRight w:val="0"/>
          <w:marTop w:val="0"/>
          <w:marBottom w:val="0"/>
          <w:divBdr>
            <w:top w:val="none" w:sz="0" w:space="0" w:color="auto"/>
            <w:left w:val="none" w:sz="0" w:space="0" w:color="auto"/>
            <w:bottom w:val="none" w:sz="0" w:space="0" w:color="auto"/>
            <w:right w:val="none" w:sz="0" w:space="0" w:color="auto"/>
          </w:divBdr>
        </w:div>
      </w:divsChild>
    </w:div>
    <w:div w:id="245384731">
      <w:bodyDiv w:val="1"/>
      <w:marLeft w:val="225"/>
      <w:marRight w:val="225"/>
      <w:marTop w:val="0"/>
      <w:marBottom w:val="0"/>
      <w:divBdr>
        <w:top w:val="none" w:sz="0" w:space="0" w:color="auto"/>
        <w:left w:val="none" w:sz="0" w:space="0" w:color="auto"/>
        <w:bottom w:val="none" w:sz="0" w:space="0" w:color="auto"/>
        <w:right w:val="none" w:sz="0" w:space="0" w:color="auto"/>
      </w:divBdr>
      <w:divsChild>
        <w:div w:id="1293174979">
          <w:marLeft w:val="0"/>
          <w:marRight w:val="0"/>
          <w:marTop w:val="0"/>
          <w:marBottom w:val="0"/>
          <w:divBdr>
            <w:top w:val="none" w:sz="0" w:space="0" w:color="auto"/>
            <w:left w:val="none" w:sz="0" w:space="0" w:color="auto"/>
            <w:bottom w:val="none" w:sz="0" w:space="0" w:color="auto"/>
            <w:right w:val="none" w:sz="0" w:space="0" w:color="auto"/>
          </w:divBdr>
        </w:div>
      </w:divsChild>
    </w:div>
    <w:div w:id="777261406">
      <w:bodyDiv w:val="1"/>
      <w:marLeft w:val="0"/>
      <w:marRight w:val="0"/>
      <w:marTop w:val="0"/>
      <w:marBottom w:val="0"/>
      <w:divBdr>
        <w:top w:val="none" w:sz="0" w:space="0" w:color="auto"/>
        <w:left w:val="none" w:sz="0" w:space="0" w:color="auto"/>
        <w:bottom w:val="none" w:sz="0" w:space="0" w:color="auto"/>
        <w:right w:val="none" w:sz="0" w:space="0" w:color="auto"/>
      </w:divBdr>
    </w:div>
    <w:div w:id="795490976">
      <w:bodyDiv w:val="1"/>
      <w:marLeft w:val="0"/>
      <w:marRight w:val="0"/>
      <w:marTop w:val="0"/>
      <w:marBottom w:val="0"/>
      <w:divBdr>
        <w:top w:val="none" w:sz="0" w:space="0" w:color="auto"/>
        <w:left w:val="none" w:sz="0" w:space="0" w:color="auto"/>
        <w:bottom w:val="none" w:sz="0" w:space="0" w:color="auto"/>
        <w:right w:val="none" w:sz="0" w:space="0" w:color="auto"/>
      </w:divBdr>
      <w:divsChild>
        <w:div w:id="1317152378">
          <w:marLeft w:val="0"/>
          <w:marRight w:val="0"/>
          <w:marTop w:val="0"/>
          <w:marBottom w:val="0"/>
          <w:divBdr>
            <w:top w:val="none" w:sz="0" w:space="0" w:color="auto"/>
            <w:left w:val="none" w:sz="0" w:space="0" w:color="auto"/>
            <w:bottom w:val="none" w:sz="0" w:space="0" w:color="auto"/>
            <w:right w:val="none" w:sz="0" w:space="0" w:color="auto"/>
          </w:divBdr>
          <w:divsChild>
            <w:div w:id="1035159822">
              <w:marLeft w:val="0"/>
              <w:marRight w:val="0"/>
              <w:marTop w:val="0"/>
              <w:marBottom w:val="0"/>
              <w:divBdr>
                <w:top w:val="none" w:sz="0" w:space="0" w:color="auto"/>
                <w:left w:val="none" w:sz="0" w:space="0" w:color="auto"/>
                <w:bottom w:val="none" w:sz="0" w:space="0" w:color="auto"/>
                <w:right w:val="none" w:sz="0" w:space="0" w:color="auto"/>
              </w:divBdr>
            </w:div>
            <w:div w:id="10784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3339">
      <w:bodyDiv w:val="1"/>
      <w:marLeft w:val="0"/>
      <w:marRight w:val="0"/>
      <w:marTop w:val="0"/>
      <w:marBottom w:val="0"/>
      <w:divBdr>
        <w:top w:val="none" w:sz="0" w:space="0" w:color="auto"/>
        <w:left w:val="none" w:sz="0" w:space="0" w:color="auto"/>
        <w:bottom w:val="none" w:sz="0" w:space="0" w:color="auto"/>
        <w:right w:val="none" w:sz="0" w:space="0" w:color="auto"/>
      </w:divBdr>
    </w:div>
    <w:div w:id="1218664149">
      <w:bodyDiv w:val="1"/>
      <w:marLeft w:val="0"/>
      <w:marRight w:val="0"/>
      <w:marTop w:val="0"/>
      <w:marBottom w:val="0"/>
      <w:divBdr>
        <w:top w:val="none" w:sz="0" w:space="0" w:color="auto"/>
        <w:left w:val="none" w:sz="0" w:space="0" w:color="auto"/>
        <w:bottom w:val="none" w:sz="0" w:space="0" w:color="auto"/>
        <w:right w:val="none" w:sz="0" w:space="0" w:color="auto"/>
      </w:divBdr>
      <w:divsChild>
        <w:div w:id="1003896618">
          <w:marLeft w:val="0"/>
          <w:marRight w:val="0"/>
          <w:marTop w:val="230"/>
          <w:marBottom w:val="230"/>
          <w:divBdr>
            <w:top w:val="none" w:sz="0" w:space="0" w:color="auto"/>
            <w:left w:val="none" w:sz="0" w:space="0" w:color="auto"/>
            <w:bottom w:val="none" w:sz="0" w:space="0" w:color="auto"/>
            <w:right w:val="none" w:sz="0" w:space="0" w:color="auto"/>
          </w:divBdr>
          <w:divsChild>
            <w:div w:id="81218840">
              <w:marLeft w:val="0"/>
              <w:marRight w:val="0"/>
              <w:marTop w:val="0"/>
              <w:marBottom w:val="0"/>
              <w:divBdr>
                <w:top w:val="none" w:sz="0" w:space="0" w:color="auto"/>
                <w:left w:val="none" w:sz="0" w:space="0" w:color="auto"/>
                <w:bottom w:val="none" w:sz="0" w:space="0" w:color="auto"/>
                <w:right w:val="none" w:sz="0" w:space="0" w:color="auto"/>
              </w:divBdr>
              <w:divsChild>
                <w:div w:id="1675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79939">
          <w:marLeft w:val="0"/>
          <w:marRight w:val="0"/>
          <w:marTop w:val="0"/>
          <w:marBottom w:val="230"/>
          <w:divBdr>
            <w:top w:val="none" w:sz="0" w:space="0" w:color="auto"/>
            <w:left w:val="none" w:sz="0" w:space="0" w:color="auto"/>
            <w:bottom w:val="none" w:sz="0" w:space="0" w:color="auto"/>
            <w:right w:val="none" w:sz="0" w:space="0" w:color="auto"/>
          </w:divBdr>
          <w:divsChild>
            <w:div w:id="1054082333">
              <w:marLeft w:val="0"/>
              <w:marRight w:val="0"/>
              <w:marTop w:val="0"/>
              <w:marBottom w:val="0"/>
              <w:divBdr>
                <w:top w:val="none" w:sz="0" w:space="0" w:color="auto"/>
                <w:left w:val="none" w:sz="0" w:space="0" w:color="auto"/>
                <w:bottom w:val="none" w:sz="0" w:space="0" w:color="auto"/>
                <w:right w:val="none" w:sz="0" w:space="0" w:color="auto"/>
              </w:divBdr>
              <w:divsChild>
                <w:div w:id="4067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1488">
      <w:bodyDiv w:val="1"/>
      <w:marLeft w:val="225"/>
      <w:marRight w:val="225"/>
      <w:marTop w:val="0"/>
      <w:marBottom w:val="0"/>
      <w:divBdr>
        <w:top w:val="none" w:sz="0" w:space="0" w:color="auto"/>
        <w:left w:val="none" w:sz="0" w:space="0" w:color="auto"/>
        <w:bottom w:val="none" w:sz="0" w:space="0" w:color="auto"/>
        <w:right w:val="none" w:sz="0" w:space="0" w:color="auto"/>
      </w:divBdr>
      <w:divsChild>
        <w:div w:id="992492623">
          <w:marLeft w:val="0"/>
          <w:marRight w:val="0"/>
          <w:marTop w:val="0"/>
          <w:marBottom w:val="0"/>
          <w:divBdr>
            <w:top w:val="none" w:sz="0" w:space="0" w:color="auto"/>
            <w:left w:val="none" w:sz="0" w:space="0" w:color="auto"/>
            <w:bottom w:val="none" w:sz="0" w:space="0" w:color="auto"/>
            <w:right w:val="none" w:sz="0" w:space="0" w:color="auto"/>
          </w:divBdr>
        </w:div>
      </w:divsChild>
    </w:div>
    <w:div w:id="1405027302">
      <w:bodyDiv w:val="1"/>
      <w:marLeft w:val="0"/>
      <w:marRight w:val="0"/>
      <w:marTop w:val="0"/>
      <w:marBottom w:val="0"/>
      <w:divBdr>
        <w:top w:val="none" w:sz="0" w:space="0" w:color="auto"/>
        <w:left w:val="none" w:sz="0" w:space="0" w:color="auto"/>
        <w:bottom w:val="none" w:sz="0" w:space="0" w:color="auto"/>
        <w:right w:val="none" w:sz="0" w:space="0" w:color="auto"/>
      </w:divBdr>
    </w:div>
    <w:div w:id="1418283954">
      <w:bodyDiv w:val="1"/>
      <w:marLeft w:val="0"/>
      <w:marRight w:val="0"/>
      <w:marTop w:val="0"/>
      <w:marBottom w:val="0"/>
      <w:divBdr>
        <w:top w:val="none" w:sz="0" w:space="0" w:color="auto"/>
        <w:left w:val="none" w:sz="0" w:space="0" w:color="auto"/>
        <w:bottom w:val="none" w:sz="0" w:space="0" w:color="auto"/>
        <w:right w:val="none" w:sz="0" w:space="0" w:color="auto"/>
      </w:divBdr>
      <w:divsChild>
        <w:div w:id="1988168036">
          <w:marLeft w:val="0"/>
          <w:marRight w:val="0"/>
          <w:marTop w:val="0"/>
          <w:marBottom w:val="0"/>
          <w:divBdr>
            <w:top w:val="none" w:sz="0" w:space="0" w:color="auto"/>
            <w:left w:val="none" w:sz="0" w:space="0" w:color="auto"/>
            <w:bottom w:val="none" w:sz="0" w:space="0" w:color="auto"/>
            <w:right w:val="none" w:sz="0" w:space="0" w:color="auto"/>
          </w:divBdr>
          <w:divsChild>
            <w:div w:id="1050766996">
              <w:marLeft w:val="0"/>
              <w:marRight w:val="0"/>
              <w:marTop w:val="0"/>
              <w:marBottom w:val="0"/>
              <w:divBdr>
                <w:top w:val="none" w:sz="0" w:space="0" w:color="auto"/>
                <w:left w:val="none" w:sz="0" w:space="0" w:color="auto"/>
                <w:bottom w:val="none" w:sz="0" w:space="0" w:color="auto"/>
                <w:right w:val="none" w:sz="0" w:space="0" w:color="auto"/>
              </w:divBdr>
            </w:div>
            <w:div w:id="15648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5201">
      <w:bodyDiv w:val="1"/>
      <w:marLeft w:val="225"/>
      <w:marRight w:val="225"/>
      <w:marTop w:val="0"/>
      <w:marBottom w:val="0"/>
      <w:divBdr>
        <w:top w:val="none" w:sz="0" w:space="0" w:color="auto"/>
        <w:left w:val="none" w:sz="0" w:space="0" w:color="auto"/>
        <w:bottom w:val="none" w:sz="0" w:space="0" w:color="auto"/>
        <w:right w:val="none" w:sz="0" w:space="0" w:color="auto"/>
      </w:divBdr>
      <w:divsChild>
        <w:div w:id="581721868">
          <w:marLeft w:val="0"/>
          <w:marRight w:val="0"/>
          <w:marTop w:val="0"/>
          <w:marBottom w:val="0"/>
          <w:divBdr>
            <w:top w:val="none" w:sz="0" w:space="0" w:color="auto"/>
            <w:left w:val="none" w:sz="0" w:space="0" w:color="auto"/>
            <w:bottom w:val="none" w:sz="0" w:space="0" w:color="auto"/>
            <w:right w:val="none" w:sz="0" w:space="0" w:color="auto"/>
          </w:divBdr>
        </w:div>
      </w:divsChild>
    </w:div>
    <w:div w:id="1740249119">
      <w:bodyDiv w:val="1"/>
      <w:marLeft w:val="225"/>
      <w:marRight w:val="225"/>
      <w:marTop w:val="0"/>
      <w:marBottom w:val="0"/>
      <w:divBdr>
        <w:top w:val="none" w:sz="0" w:space="0" w:color="auto"/>
        <w:left w:val="none" w:sz="0" w:space="0" w:color="auto"/>
        <w:bottom w:val="none" w:sz="0" w:space="0" w:color="auto"/>
        <w:right w:val="none" w:sz="0" w:space="0" w:color="auto"/>
      </w:divBdr>
      <w:divsChild>
        <w:div w:id="1753622750">
          <w:marLeft w:val="0"/>
          <w:marRight w:val="0"/>
          <w:marTop w:val="0"/>
          <w:marBottom w:val="0"/>
          <w:divBdr>
            <w:top w:val="none" w:sz="0" w:space="0" w:color="auto"/>
            <w:left w:val="none" w:sz="0" w:space="0" w:color="auto"/>
            <w:bottom w:val="none" w:sz="0" w:space="0" w:color="auto"/>
            <w:right w:val="none" w:sz="0" w:space="0" w:color="auto"/>
          </w:divBdr>
        </w:div>
      </w:divsChild>
    </w:div>
    <w:div w:id="1962109609">
      <w:bodyDiv w:val="1"/>
      <w:marLeft w:val="0"/>
      <w:marRight w:val="0"/>
      <w:marTop w:val="0"/>
      <w:marBottom w:val="0"/>
      <w:divBdr>
        <w:top w:val="none" w:sz="0" w:space="0" w:color="auto"/>
        <w:left w:val="none" w:sz="0" w:space="0" w:color="auto"/>
        <w:bottom w:val="none" w:sz="0" w:space="0" w:color="auto"/>
        <w:right w:val="none" w:sz="0" w:space="0" w:color="auto"/>
      </w:divBdr>
      <w:divsChild>
        <w:div w:id="1217425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4fe3b2c9212e426e9f31df232ebcc1a5" PartId="d468631238a5420e8d0d972dcef1db06">
    <Part Type="preambule" DocPartId="30f0f220b96445dbb2e7dae2ece8f320" PartId="3921bc0030094a8cb8b0c7fd296322e5"/>
    <Part Type="pastraipa" DocPartId="e122406179cd42d1a9aa617c907b8f08" PartId="07756e5331ec4d80953e2583c7ab096f">
      <Part Type="citata" DocPartId="1195c03cb8604993a9b3f6a63f014a2f" PartId="e4ae8c9b589c4f5c86b34f8f013c61a2">
        <Part Type="pastraipa" DocPartId="647f09a8677c496dbf5c1b5b036216f0" PartId="8bfefcbd032e4bdd8c357df56442a11a"/>
        <Part Type="pastraipa" DocPartId="b5d9862a354f4eb5b85fc1da3d32591f" PartId="971366251ad9478d8f340adfd7cac31b"/>
        <Part Type="pastraipa" DocPartId="8b2a174253cb44f78285d84130126447" PartId="27f63d15451346f5a320c0286ace196c"/>
        <Part Type="pastraipa" DocPartId="7b7cf2c71d0240be954ab948e01b96e7" PartId="bff5dcad341d4a1fb2083ffe9bc5f354"/>
        <Part Type="pastraipa" DocPartId="eb1a43e8ed4e47379211afad23948cbb" PartId="035ef3a6d3b2407a9148d19dae184f54"/>
      </Part>
    </Part>
    <Part Type="signatura" DocPartId="2f3c4625b726429687226427724c538d" PartId="fc8fe766728c454a96e592ec519bd96e"/>
  </Part>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FD9FC-261B-4A1B-88BE-1B1565C48C87}">
  <ds:schemaRefs>
    <ds:schemaRef ds:uri="http://lrs.lt/TAIS/DocParts"/>
  </ds:schemaRefs>
</ds:datastoreItem>
</file>

<file path=customXml/itemProps2.xml><?xml version="1.0" encoding="utf-8"?>
<ds:datastoreItem xmlns:ds="http://schemas.openxmlformats.org/officeDocument/2006/customXml" ds:itemID="{F6F1A0FF-A0FA-4609-88A6-6AC2F811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1114</Characters>
  <Application>Microsoft Office Word</Application>
  <DocSecurity>0</DocSecurity>
  <Lines>9</Lines>
  <Paragraphs>2</Paragraphs>
  <ScaleCrop>false</ScaleCrop>
  <HeadingPairs>
    <vt:vector size="2" baseType="variant">
      <vt:variant>
        <vt:lpstr>Pavadinimas</vt:lpstr>
      </vt:variant>
      <vt:variant>
        <vt:i4>1</vt:i4>
      </vt:variant>
    </vt:vector>
  </HeadingPairs>
  <TitlesOfParts>
    <vt:vector size="1" baseType="lpstr">
      <vt:lpstr>VIEŠOJI ĮSTAIGA</vt:lpstr>
    </vt:vector>
  </TitlesOfParts>
  <Company/>
  <LinksUpToDate>false</LinksUpToDate>
  <CharactersWithSpaces>1269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VIEŠOJI ĮSTAIGA</dc:title>
  <dc:creator>Lina Malinauskaitė-Jakimavičienė</dc:creator>
  <cp:lastModifiedBy>GRUNDAITĖ Aistė</cp:lastModifiedBy>
  <cp:revision>5</cp:revision>
  <cp:lastPrinted>2016-01-28T12:10:00Z</cp:lastPrinted>
  <dcterms:created xsi:type="dcterms:W3CDTF">2016-01-28T13:53:00Z</dcterms:created>
  <dcterms:modified xsi:type="dcterms:W3CDTF">2016-02-17T06:18:00Z</dcterms:modified>
</cp:coreProperties>
</file>