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2EE2" w:rsidRDefault="00262EE2">
      <w:pPr>
        <w:pageBreakBefore/>
        <w:suppressAutoHyphens/>
        <w:ind w:firstLine="850"/>
        <w:jc w:val="both"/>
        <w:rPr>
          <w:rFonts w:eastAsia="Noto Sans CJK SC Regular" w:cs="FreeSans"/>
          <w:kern w:val="1"/>
          <w:szCs w:val="24"/>
          <w:lang w:eastAsia="hi-IN" w:bidi="hi-IN"/>
        </w:rPr>
      </w:pPr>
    </w:p>
    <w:p w:rsidR="00262EE2" w:rsidRDefault="00262EE2">
      <w:pPr>
        <w:suppressAutoHyphens/>
        <w:ind w:firstLine="850"/>
        <w:jc w:val="center"/>
        <w:rPr>
          <w:rFonts w:eastAsia="Noto Sans CJK SC Regular" w:cs="FreeSans"/>
          <w:kern w:val="1"/>
          <w:szCs w:val="24"/>
          <w:lang w:eastAsia="hi-IN" w:bidi="hi-IN"/>
        </w:rPr>
      </w:pPr>
    </w:p>
    <w:bookmarkStart w:id="0" w:name="_GoBack"/>
    <w:bookmarkEnd w:id="0"/>
    <w:p w:rsidR="00262EE2" w:rsidRDefault="00AE59D8" w:rsidP="00581C72">
      <w:pPr>
        <w:suppressAutoHyphens/>
        <w:jc w:val="center"/>
        <w:rPr>
          <w:rFonts w:eastAsia="Noto Sans CJK SC Regular" w:cs="FreeSans"/>
          <w:kern w:val="1"/>
          <w:szCs w:val="24"/>
          <w:lang w:eastAsia="hi-IN" w:bidi="hi-IN"/>
        </w:rPr>
      </w:pPr>
      <w:r w:rsidRPr="00FF09B6">
        <w:rPr>
          <w:color w:val="000000"/>
        </w:rPr>
        <w:object w:dxaOrig="792"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45pt" o:ole="" fillcolor="window">
            <v:imagedata r:id="rId6" o:title=""/>
          </v:shape>
          <o:OLEObject Type="Embed" ProgID="Word.Picture.8" ShapeID="_x0000_i1025" DrawAspect="Content" ObjectID="_1678544115" r:id="rId7"/>
        </w:object>
      </w:r>
    </w:p>
    <w:p w:rsidR="00262EE2" w:rsidRDefault="009B3310">
      <w:pPr>
        <w:suppressAutoHyphens/>
        <w:jc w:val="center"/>
        <w:rPr>
          <w:rFonts w:eastAsia="Noto Sans CJK SC Regular" w:cs="FreeSans"/>
          <w:b/>
          <w:color w:val="000000"/>
          <w:kern w:val="1"/>
          <w:szCs w:val="24"/>
          <w:lang w:eastAsia="hi-IN" w:bidi="hi-IN"/>
        </w:rPr>
      </w:pPr>
      <w:r>
        <w:rPr>
          <w:rFonts w:eastAsia="Noto Sans CJK SC Regular" w:cs="FreeSans"/>
          <w:b/>
          <w:color w:val="000000"/>
          <w:kern w:val="1"/>
          <w:szCs w:val="24"/>
          <w:lang w:eastAsia="hi-IN" w:bidi="hi-IN"/>
        </w:rPr>
        <w:t>LIETUVOS POLICIJOS GENERALINIS KOMISARAS</w:t>
      </w:r>
    </w:p>
    <w:p w:rsidR="00262EE2" w:rsidRDefault="00262EE2">
      <w:pPr>
        <w:suppressAutoHyphens/>
        <w:ind w:firstLine="850"/>
        <w:jc w:val="center"/>
        <w:rPr>
          <w:rFonts w:eastAsia="Noto Sans CJK SC Regular" w:cs="FreeSans"/>
          <w:color w:val="000000"/>
          <w:kern w:val="1"/>
          <w:szCs w:val="24"/>
          <w:lang w:eastAsia="hi-IN" w:bidi="hi-IN"/>
        </w:rPr>
      </w:pPr>
    </w:p>
    <w:p w:rsidR="00262EE2" w:rsidRDefault="009B3310">
      <w:pPr>
        <w:suppressAutoHyphens/>
        <w:jc w:val="center"/>
        <w:rPr>
          <w:rFonts w:eastAsia="Noto Sans CJK SC Regular" w:cs="FreeSans"/>
          <w:b/>
          <w:color w:val="000000"/>
          <w:kern w:val="1"/>
          <w:szCs w:val="24"/>
          <w:lang w:eastAsia="hi-IN" w:bidi="hi-IN"/>
        </w:rPr>
      </w:pPr>
      <w:r>
        <w:rPr>
          <w:rFonts w:eastAsia="Noto Sans CJK SC Regular" w:cs="FreeSans"/>
          <w:b/>
          <w:color w:val="000000"/>
          <w:kern w:val="1"/>
          <w:szCs w:val="24"/>
          <w:lang w:eastAsia="hi-IN" w:bidi="hi-IN"/>
        </w:rPr>
        <w:t>ĮSAKYMAS</w:t>
      </w:r>
    </w:p>
    <w:p w:rsidR="00262EE2" w:rsidRDefault="009B3310">
      <w:pPr>
        <w:suppressAutoHyphens/>
        <w:jc w:val="center"/>
        <w:rPr>
          <w:rFonts w:eastAsia="Noto Sans CJK SC Regular" w:cs="FreeSans"/>
          <w:b/>
          <w:bCs/>
          <w:color w:val="000000"/>
          <w:kern w:val="1"/>
          <w:szCs w:val="24"/>
          <w:lang w:eastAsia="hi-IN" w:bidi="hi-IN"/>
        </w:rPr>
      </w:pPr>
      <w:r>
        <w:rPr>
          <w:rFonts w:eastAsia="Noto Sans CJK SC Regular" w:cs="FreeSans"/>
          <w:b/>
          <w:color w:val="000000"/>
          <w:kern w:val="1"/>
          <w:szCs w:val="24"/>
          <w:lang w:eastAsia="hi-IN" w:bidi="hi-IN"/>
        </w:rPr>
        <w:t>DĖL L</w:t>
      </w:r>
      <w:r>
        <w:rPr>
          <w:rFonts w:eastAsia="Noto Sans CJK SC Regular" w:cs="FreeSans"/>
          <w:b/>
          <w:bCs/>
          <w:color w:val="000000"/>
          <w:kern w:val="1"/>
          <w:szCs w:val="24"/>
          <w:lang w:eastAsia="hi-IN" w:bidi="hi-IN"/>
        </w:rPr>
        <w:t>IETUVOS POLICIJOS GENERALINIO KOMISARO 2013 M. SPALIO 3 D. ĮSAKYMO NR. 5-V-775 „</w:t>
      </w:r>
      <w:r>
        <w:rPr>
          <w:rFonts w:eastAsia="Noto Sans CJK SC Regular" w:cs="FreeSans"/>
          <w:b/>
          <w:bCs/>
          <w:caps/>
          <w:color w:val="000000"/>
          <w:kern w:val="1"/>
          <w:szCs w:val="24"/>
          <w:lang w:eastAsia="hi-IN" w:bidi="hi-IN"/>
        </w:rPr>
        <w:t>DĖL Šaunamųjų GINKLŲ PERDIRBIMO Į IMITACINIUS GINKLUS, JŲ NAUDOJIMO, GINKLŲ, ŠAUDMENŲ, JŲ DALIŲ KOLEKCIJŲ SUDARYMO, LAIKYMO, EKSPONAVIMO, LIKVIDAVIMO, GINKLŲ, ŠAUDMENŲ PERDIRBIMO KOLEKCIJOMS IR GINKLŲ, GINKLŲ PRIEDĖLIŲ, ŠAUDMENŲ, JŲ DALIŲ PARODŲ ORGANIZAVIMO, REIKALAVIMŲ PARODOMS TVARKOS APRAŠO PATVIRTINIMO</w:t>
      </w:r>
      <w:r>
        <w:rPr>
          <w:rFonts w:eastAsia="Noto Sans CJK SC Regular" w:cs="FreeSans"/>
          <w:b/>
          <w:bCs/>
          <w:color w:val="000000"/>
          <w:kern w:val="1"/>
          <w:szCs w:val="24"/>
          <w:lang w:eastAsia="hi-IN" w:bidi="hi-IN"/>
        </w:rPr>
        <w:t>“ PAKEITIMO</w:t>
      </w:r>
    </w:p>
    <w:p w:rsidR="00262EE2" w:rsidRDefault="00262EE2">
      <w:pPr>
        <w:suppressAutoHyphens/>
        <w:ind w:firstLine="850"/>
        <w:jc w:val="center"/>
        <w:rPr>
          <w:rFonts w:eastAsia="Noto Sans CJK SC Regular" w:cs="FreeSans"/>
          <w:color w:val="000000"/>
          <w:kern w:val="1"/>
          <w:szCs w:val="24"/>
          <w:lang w:eastAsia="hi-IN" w:bidi="hi-IN"/>
        </w:rPr>
      </w:pPr>
    </w:p>
    <w:p w:rsidR="00262EE2" w:rsidRDefault="009B3310">
      <w:pPr>
        <w:suppressAutoHyphens/>
        <w:jc w:val="center"/>
        <w:rPr>
          <w:rFonts w:eastAsia="Noto Sans CJK SC Regular" w:cs="FreeSans"/>
          <w:color w:val="000000"/>
          <w:kern w:val="1"/>
          <w:szCs w:val="24"/>
          <w:lang w:eastAsia="hi-IN" w:bidi="hi-IN"/>
        </w:rPr>
      </w:pPr>
      <w:r>
        <w:rPr>
          <w:rFonts w:eastAsia="Noto Sans CJK SC Regular" w:cs="FreeSans"/>
          <w:color w:val="000000"/>
          <w:kern w:val="1"/>
          <w:szCs w:val="24"/>
          <w:lang w:eastAsia="hi-IN" w:bidi="hi-IN"/>
        </w:rPr>
        <w:t>2021 m. kovo 29 d. Nr. 5-V-250</w:t>
      </w:r>
    </w:p>
    <w:p w:rsidR="00262EE2" w:rsidRDefault="009B3310">
      <w:pPr>
        <w:suppressAutoHyphens/>
        <w:jc w:val="center"/>
        <w:rPr>
          <w:rFonts w:eastAsia="Noto Sans CJK SC Regular" w:cs="FreeSans"/>
          <w:color w:val="000000"/>
          <w:kern w:val="1"/>
          <w:szCs w:val="24"/>
          <w:lang w:eastAsia="hi-IN" w:bidi="hi-IN"/>
        </w:rPr>
      </w:pPr>
      <w:r>
        <w:rPr>
          <w:rFonts w:eastAsia="Noto Sans CJK SC Regular" w:cs="FreeSans"/>
          <w:color w:val="000000"/>
          <w:kern w:val="1"/>
          <w:szCs w:val="24"/>
          <w:lang w:eastAsia="hi-IN" w:bidi="hi-IN"/>
        </w:rPr>
        <w:t>Vilnius</w:t>
      </w:r>
    </w:p>
    <w:p w:rsidR="00262EE2" w:rsidRDefault="00262EE2">
      <w:pPr>
        <w:tabs>
          <w:tab w:val="left" w:pos="850"/>
        </w:tabs>
        <w:suppressAutoHyphens/>
        <w:ind w:firstLine="850"/>
        <w:jc w:val="both"/>
        <w:rPr>
          <w:rFonts w:eastAsia="Noto Sans CJK SC Regular" w:cs="FreeSans"/>
          <w:kern w:val="1"/>
          <w:szCs w:val="24"/>
          <w:lang w:eastAsia="hi-IN" w:bidi="hi-IN"/>
        </w:rPr>
      </w:pPr>
    </w:p>
    <w:p w:rsidR="00262EE2" w:rsidRDefault="00262EE2">
      <w:pPr>
        <w:tabs>
          <w:tab w:val="left" w:pos="850"/>
        </w:tabs>
        <w:suppressAutoHyphens/>
        <w:ind w:firstLine="850"/>
        <w:jc w:val="both"/>
        <w:rPr>
          <w:rFonts w:eastAsia="Noto Sans CJK SC Regular" w:cs="FreeSans"/>
          <w:kern w:val="1"/>
          <w:szCs w:val="24"/>
          <w:lang w:eastAsia="hi-IN" w:bidi="hi-IN"/>
        </w:rPr>
      </w:pPr>
    </w:p>
    <w:p w:rsidR="00262EE2" w:rsidRDefault="009B3310">
      <w:pPr>
        <w:tabs>
          <w:tab w:val="left" w:pos="1058"/>
        </w:tabs>
        <w:suppressAutoHyphens/>
        <w:spacing w:line="100" w:lineRule="atLeast"/>
        <w:ind w:firstLine="1020"/>
        <w:jc w:val="both"/>
        <w:rPr>
          <w:rFonts w:eastAsia="Noto Sans CJK SC Regular" w:cs="FreeSans"/>
          <w:kern w:val="1"/>
          <w:szCs w:val="24"/>
          <w:lang w:eastAsia="hi-IN" w:bidi="hi-IN"/>
        </w:rPr>
      </w:pPr>
      <w:r>
        <w:rPr>
          <w:rFonts w:eastAsia="Noto Sans CJK SC Regular" w:cs="FreeSans"/>
          <w:kern w:val="1"/>
          <w:szCs w:val="24"/>
          <w:lang w:eastAsia="hi-IN" w:bidi="hi-IN"/>
        </w:rPr>
        <w:t>P a k e i č i u  Šaunamųjų ginklų perdirbimo į imitacinius ginklus, jų naudojimo, ginklų, šaudmenų, jų dalių kolekcijų sudarymo, laikymo, eksponavimo, likvidavimo, ginklų, šaudmenų perdirbimo kolekcijoms ir ginklų, ginklų priedėlių, šaudmenų, jų dalių parodų organizavimo, reikalavimų parodoms tvarkos aprašą, patvirtintą Lietuvos policijos generalinio komisaro 2013 m. spalio 3 d. įsakymu Nr. 5-V-775 „Dėl Šaunamųjų ginklų perdirbimo į imitacinius ginklus, jų naudojimo, ginklų, šaudmenų, jų dalių kolekcijų sudarymo, laikymo, eksponavimo, likvidavimo, ginklų, šaudmenų perdirbimo kolekcijoms ir ginklų, ginklų priedėlių, šaudmenų, jų dalių parodų organizavimo, reikalavimų parodoms tvarkos aprašo patvirtinimo“:</w:t>
      </w:r>
    </w:p>
    <w:p w:rsidR="00262EE2" w:rsidRDefault="00581C72">
      <w:pPr>
        <w:tabs>
          <w:tab w:val="left" w:pos="1058"/>
        </w:tabs>
        <w:suppressAutoHyphens/>
        <w:spacing w:line="100" w:lineRule="atLeast"/>
        <w:ind w:firstLine="1020"/>
        <w:jc w:val="both"/>
        <w:rPr>
          <w:rFonts w:eastAsia="Noto Sans CJK SC Regular" w:cs="FreeSans"/>
          <w:kern w:val="1"/>
          <w:szCs w:val="24"/>
          <w:lang w:eastAsia="hi-IN" w:bidi="hi-IN"/>
        </w:rPr>
      </w:pPr>
      <w:r w:rsidR="009B3310">
        <w:rPr>
          <w:rFonts w:eastAsia="Noto Sans CJK SC Regular" w:cs="FreeSans"/>
          <w:kern w:val="1"/>
          <w:szCs w:val="24"/>
          <w:lang w:eastAsia="hi-IN" w:bidi="hi-IN"/>
        </w:rPr>
        <w:t>1</w:t>
      </w:r>
      <w:r w:rsidR="009B3310">
        <w:rPr>
          <w:rFonts w:eastAsia="Noto Sans CJK SC Regular" w:cs="FreeSans"/>
          <w:kern w:val="1"/>
          <w:szCs w:val="24"/>
          <w:lang w:eastAsia="hi-IN" w:bidi="hi-IN"/>
        </w:rPr>
        <w:t>. Pakeičiu 18 punktą ir jį išdėstau taip:</w:t>
      </w:r>
    </w:p>
    <w:p w:rsidR="00262EE2" w:rsidRDefault="009B3310">
      <w:pPr>
        <w:tabs>
          <w:tab w:val="left" w:pos="1058"/>
        </w:tabs>
        <w:suppressAutoHyphens/>
        <w:spacing w:line="100" w:lineRule="atLeast"/>
        <w:ind w:firstLine="1020"/>
        <w:jc w:val="both"/>
        <w:rPr>
          <w:rFonts w:eastAsia="Noto Sans CJK SC Regular" w:cs="FreeSans"/>
          <w:kern w:val="1"/>
          <w:szCs w:val="24"/>
          <w:lang w:eastAsia="hi-IN" w:bidi="hi-IN"/>
        </w:rPr>
      </w:pPr>
      <w:r>
        <w:rPr>
          <w:rFonts w:eastAsia="Noto Sans CJK SC Regular" w:cs="FreeSans"/>
          <w:kern w:val="1"/>
          <w:szCs w:val="24"/>
          <w:lang w:eastAsia="hi-IN" w:bidi="hi-IN"/>
        </w:rPr>
        <w:t>„</w:t>
      </w:r>
      <w:r>
        <w:rPr>
          <w:rFonts w:eastAsia="Noto Sans CJK SC Regular" w:cs="FreeSans"/>
          <w:kern w:val="1"/>
          <w:szCs w:val="24"/>
          <w:lang w:eastAsia="hi-IN" w:bidi="hi-IN"/>
        </w:rPr>
        <w:t>18</w:t>
      </w:r>
      <w:r>
        <w:rPr>
          <w:rFonts w:eastAsia="Noto Sans CJK SC Regular" w:cs="FreeSans"/>
          <w:kern w:val="1"/>
          <w:szCs w:val="24"/>
          <w:lang w:eastAsia="hi-IN" w:bidi="hi-IN"/>
        </w:rPr>
        <w:t xml:space="preserve">. </w:t>
      </w:r>
      <w:r>
        <w:rPr>
          <w:rFonts w:eastAsia="Noto Sans CJK SC Regular" w:cs="FreeSans"/>
          <w:color w:val="000000"/>
          <w:kern w:val="1"/>
          <w:szCs w:val="24"/>
          <w:lang w:eastAsia="hi-IN" w:bidi="hi-IN"/>
        </w:rPr>
        <w:t xml:space="preserve">Patrankos, </w:t>
      </w:r>
      <w:proofErr w:type="spellStart"/>
      <w:r>
        <w:rPr>
          <w:rFonts w:eastAsia="Noto Sans CJK SC Regular" w:cs="FreeSans"/>
          <w:color w:val="000000"/>
          <w:kern w:val="1"/>
          <w:szCs w:val="24"/>
          <w:lang w:eastAsia="hi-IN" w:bidi="hi-IN"/>
        </w:rPr>
        <w:t>haubicos</w:t>
      </w:r>
      <w:proofErr w:type="spellEnd"/>
      <w:r>
        <w:rPr>
          <w:rFonts w:eastAsia="Noto Sans CJK SC Regular" w:cs="FreeSans"/>
          <w:color w:val="000000"/>
          <w:kern w:val="1"/>
          <w:szCs w:val="24"/>
          <w:lang w:eastAsia="hi-IN" w:bidi="hi-IN"/>
        </w:rPr>
        <w:t>, mortyros ir kiti stambaus kalibro ginklai, perdirbti į  netinkamus ginklus, gali būti laikomi ir eksponuojami atvirose aikštelėse, jei užtikrinama jų apsauga nuo pagrobimo arba jie yra pritvirtinti taip, kad jų neįmanoma demontuoti be specialių įrankių.“</w:t>
      </w:r>
      <w:r>
        <w:rPr>
          <w:rFonts w:eastAsia="Noto Sans CJK SC Regular" w:cs="FreeSans"/>
          <w:kern w:val="1"/>
          <w:szCs w:val="24"/>
          <w:lang w:eastAsia="hi-IN" w:bidi="hi-IN"/>
        </w:rPr>
        <w:t xml:space="preserve"> </w:t>
      </w:r>
    </w:p>
    <w:p w:rsidR="00262EE2" w:rsidRDefault="00581C72">
      <w:pPr>
        <w:tabs>
          <w:tab w:val="left" w:pos="1058"/>
        </w:tabs>
        <w:suppressAutoHyphens/>
        <w:spacing w:line="100" w:lineRule="atLeast"/>
        <w:ind w:firstLine="1020"/>
        <w:jc w:val="both"/>
        <w:rPr>
          <w:rFonts w:eastAsia="Noto Sans CJK SC Regular" w:cs="FreeSans"/>
          <w:kern w:val="1"/>
          <w:szCs w:val="24"/>
          <w:lang w:eastAsia="hi-IN" w:bidi="hi-IN"/>
        </w:rPr>
      </w:pPr>
      <w:r w:rsidR="009B3310">
        <w:rPr>
          <w:rFonts w:eastAsia="Noto Sans CJK SC Regular" w:cs="FreeSans"/>
          <w:kern w:val="1"/>
          <w:szCs w:val="24"/>
          <w:lang w:eastAsia="hi-IN" w:bidi="hi-IN"/>
        </w:rPr>
        <w:t>2</w:t>
      </w:r>
      <w:r w:rsidR="009B3310">
        <w:rPr>
          <w:rFonts w:eastAsia="Noto Sans CJK SC Regular" w:cs="FreeSans"/>
          <w:kern w:val="1"/>
          <w:szCs w:val="24"/>
          <w:lang w:eastAsia="hi-IN" w:bidi="hi-IN"/>
        </w:rPr>
        <w:t>. Pakeičiu 19 punktą ir jį išdėstau taip:</w:t>
      </w:r>
    </w:p>
    <w:p w:rsidR="00262EE2" w:rsidRDefault="009B3310" w:rsidP="009B3310">
      <w:pPr>
        <w:tabs>
          <w:tab w:val="left" w:pos="1058"/>
        </w:tabs>
        <w:suppressAutoHyphens/>
        <w:spacing w:line="100" w:lineRule="atLeast"/>
        <w:ind w:firstLine="1020"/>
        <w:jc w:val="both"/>
        <w:rPr>
          <w:rFonts w:eastAsia="Noto Sans CJK SC Regular" w:cs="FreeSans"/>
          <w:kern w:val="1"/>
          <w:szCs w:val="24"/>
          <w:lang w:eastAsia="hi-IN" w:bidi="hi-IN"/>
        </w:rPr>
      </w:pPr>
      <w:r>
        <w:rPr>
          <w:rFonts w:eastAsia="Noto Sans CJK SC Regular" w:cs="FreeSans"/>
          <w:kern w:val="1"/>
          <w:szCs w:val="24"/>
          <w:lang w:eastAsia="hi-IN" w:bidi="hi-IN"/>
        </w:rPr>
        <w:t>„</w:t>
      </w:r>
      <w:r>
        <w:rPr>
          <w:rFonts w:eastAsia="Noto Sans CJK SC Regular" w:cs="FreeSans"/>
          <w:kern w:val="1"/>
          <w:szCs w:val="24"/>
          <w:lang w:eastAsia="hi-IN" w:bidi="hi-IN"/>
        </w:rPr>
        <w:t>19</w:t>
      </w:r>
      <w:r>
        <w:rPr>
          <w:rFonts w:eastAsia="Noto Sans CJK SC Regular" w:cs="FreeSans"/>
          <w:kern w:val="1"/>
          <w:szCs w:val="24"/>
          <w:lang w:eastAsia="hi-IN" w:bidi="hi-IN"/>
        </w:rPr>
        <w:t>. Netinkami naudoti ginklai eksponuojami tik ekspozicijos darbo laiku. Pasibaigus darbo laikui, netinkami naudoti ginklai saugomi Reikalavimų nustatyta tvarka. Šis reikalavimas netaikomas aprašo 18 punkte nustatytais atvejais.“</w:t>
      </w:r>
    </w:p>
    <w:p w:rsidR="009B3310" w:rsidRDefault="009B3310">
      <w:pPr>
        <w:suppressAutoHyphens/>
        <w:spacing w:line="100" w:lineRule="atLeast"/>
        <w:jc w:val="both"/>
      </w:pPr>
    </w:p>
    <w:p w:rsidR="009B3310" w:rsidRDefault="009B3310">
      <w:pPr>
        <w:suppressAutoHyphens/>
        <w:spacing w:line="100" w:lineRule="atLeast"/>
        <w:jc w:val="both"/>
      </w:pPr>
    </w:p>
    <w:p w:rsidR="009B3310" w:rsidRDefault="009B3310">
      <w:pPr>
        <w:suppressAutoHyphens/>
        <w:spacing w:line="100" w:lineRule="atLeast"/>
        <w:jc w:val="both"/>
      </w:pPr>
    </w:p>
    <w:p w:rsidR="00262EE2" w:rsidRDefault="009B3310">
      <w:pPr>
        <w:suppressAutoHyphens/>
        <w:spacing w:line="100" w:lineRule="atLeast"/>
        <w:jc w:val="both"/>
        <w:rPr>
          <w:rFonts w:eastAsia="Noto Sans CJK SC Regular" w:cs="FreeSans"/>
          <w:kern w:val="1"/>
          <w:szCs w:val="24"/>
          <w:lang w:eastAsia="hi-IN" w:bidi="hi-IN"/>
        </w:rPr>
      </w:pPr>
      <w:r>
        <w:rPr>
          <w:rFonts w:eastAsia="Noto Sans CJK SC Regular" w:cs="FreeSans"/>
          <w:kern w:val="1"/>
          <w:szCs w:val="24"/>
          <w:lang w:eastAsia="hi-IN" w:bidi="hi-IN"/>
        </w:rPr>
        <w:t xml:space="preserve">Policijos generalinis komisaras  </w:t>
      </w:r>
      <w:r>
        <w:rPr>
          <w:rFonts w:eastAsia="Noto Sans CJK SC Regular" w:cs="FreeSans"/>
          <w:kern w:val="1"/>
          <w:szCs w:val="24"/>
          <w:lang w:eastAsia="hi-IN" w:bidi="hi-IN"/>
        </w:rPr>
        <w:tab/>
      </w:r>
      <w:r>
        <w:rPr>
          <w:rFonts w:eastAsia="Noto Sans CJK SC Regular" w:cs="FreeSans"/>
          <w:kern w:val="1"/>
          <w:szCs w:val="24"/>
          <w:lang w:eastAsia="hi-IN" w:bidi="hi-IN"/>
        </w:rPr>
        <w:tab/>
      </w:r>
      <w:r>
        <w:rPr>
          <w:rFonts w:eastAsia="Noto Sans CJK SC Regular" w:cs="FreeSans"/>
          <w:kern w:val="1"/>
          <w:szCs w:val="24"/>
          <w:lang w:eastAsia="hi-IN" w:bidi="hi-IN"/>
        </w:rPr>
        <w:tab/>
      </w:r>
      <w:r>
        <w:rPr>
          <w:rFonts w:eastAsia="Noto Sans CJK SC Regular" w:cs="FreeSans"/>
          <w:kern w:val="1"/>
          <w:szCs w:val="24"/>
          <w:lang w:eastAsia="hi-IN" w:bidi="hi-IN"/>
        </w:rPr>
        <w:tab/>
      </w:r>
      <w:r>
        <w:rPr>
          <w:rFonts w:eastAsia="Noto Sans CJK SC Regular" w:cs="FreeSans"/>
          <w:kern w:val="1"/>
          <w:szCs w:val="24"/>
          <w:lang w:eastAsia="hi-IN" w:bidi="hi-IN"/>
        </w:rPr>
        <w:tab/>
      </w:r>
      <w:r>
        <w:rPr>
          <w:rFonts w:eastAsia="Noto Sans CJK SC Regular" w:cs="FreeSans"/>
          <w:kern w:val="1"/>
          <w:szCs w:val="24"/>
          <w:lang w:eastAsia="hi-IN" w:bidi="hi-IN"/>
        </w:rPr>
        <w:tab/>
      </w:r>
      <w:r>
        <w:rPr>
          <w:rFonts w:eastAsia="Noto Sans CJK SC Regular" w:cs="FreeSans"/>
          <w:kern w:val="1"/>
          <w:szCs w:val="24"/>
          <w:lang w:eastAsia="hi-IN" w:bidi="hi-IN"/>
        </w:rPr>
        <w:tab/>
        <w:t xml:space="preserve">   Renatas Požėla</w:t>
      </w:r>
    </w:p>
    <w:p w:rsidR="00262EE2" w:rsidRDefault="00581C72">
      <w:pPr>
        <w:suppressAutoHyphens/>
        <w:jc w:val="both"/>
        <w:rPr>
          <w:rFonts w:eastAsia="Noto Sans CJK SC Regular" w:cs="FreeSans"/>
          <w:kern w:val="1"/>
          <w:szCs w:val="24"/>
          <w:lang w:eastAsia="hi-IN" w:bidi="hi-IN"/>
        </w:rPr>
      </w:pPr>
    </w:p>
    <w:sectPr w:rsidR="00262EE2">
      <w:pgSz w:w="11906" w:h="16838"/>
      <w:pgMar w:top="1134" w:right="567" w:bottom="1134" w:left="1754" w:header="567" w:footer="567" w:gutter="0"/>
      <w:cols w:space="1296"/>
      <w:docGrid w:linePitch="600" w:charSpace="389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Noto Sans CJK SC Regular">
    <w:charset w:val="BA"/>
    <w:family w:val="auto"/>
    <w:pitch w:val="variable"/>
  </w:font>
  <w:font w:name="FreeSans">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C2"/>
    <w:rsid w:val="00262EE2"/>
    <w:rsid w:val="00581C72"/>
    <w:rsid w:val="007A28C2"/>
    <w:rsid w:val="009B3310"/>
    <w:rsid w:val="00AE59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oleObject" Target="embeddings/oleObject1.bin"/>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1228</Words>
  <Characters>700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1925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2021-03-29T13:52:00Z</dcterms:created>
  <dc:creator>V Š</dc:creator>
  <lastModifiedBy>TAMALIŪNIENĖ Vilija</lastModifiedBy>
  <lastPrinted>1900-12-31T21:00:00Z</lastPrinted>
  <dcterms:modified xsi:type="dcterms:W3CDTF">2021-03-29T14:29:00Z</dcterms:modified>
  <revision>5</revision>
</coreProperties>
</file>