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25507" w14:textId="77777777" w:rsidR="00C43455" w:rsidRDefault="00C4345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0425508" w14:textId="77777777" w:rsidR="00C43455" w:rsidRDefault="001C39CA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04255AE" wp14:editId="204255A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25509" w14:textId="77777777" w:rsidR="00C43455" w:rsidRDefault="00C43455">
      <w:pPr>
        <w:jc w:val="center"/>
        <w:rPr>
          <w:caps/>
          <w:sz w:val="12"/>
          <w:szCs w:val="12"/>
        </w:rPr>
      </w:pPr>
    </w:p>
    <w:p w14:paraId="2042550A" w14:textId="77777777" w:rsidR="00C43455" w:rsidRDefault="001C39CA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2042550B" w14:textId="77777777" w:rsidR="00C43455" w:rsidRDefault="001C39CA">
      <w:pPr>
        <w:jc w:val="center"/>
        <w:rPr>
          <w:b/>
          <w:caps/>
        </w:rPr>
      </w:pPr>
      <w:r>
        <w:rPr>
          <w:b/>
          <w:caps/>
        </w:rPr>
        <w:t>AUTORIŲ TEISIŲ IR GRETUTINIŲ TEISIŲ ĮSTATYMO NR. VIII-1185 20</w:t>
      </w:r>
      <w:r>
        <w:rPr>
          <w:b/>
          <w:caps/>
          <w:vertAlign w:val="superscript"/>
        </w:rPr>
        <w:t>1</w:t>
      </w:r>
      <w:r>
        <w:rPr>
          <w:b/>
          <w:caps/>
        </w:rPr>
        <w:t> STRAIPSNIO IR 2 PRIEDO PAKEITIMO</w:t>
      </w:r>
    </w:p>
    <w:p w14:paraId="2042550C" w14:textId="77777777" w:rsidR="00C43455" w:rsidRDefault="001C39CA">
      <w:pPr>
        <w:jc w:val="center"/>
        <w:rPr>
          <w:caps/>
        </w:rPr>
      </w:pPr>
      <w:r>
        <w:rPr>
          <w:b/>
          <w:caps/>
        </w:rPr>
        <w:t>ĮSTATYMAS</w:t>
      </w:r>
    </w:p>
    <w:p w14:paraId="2042550D" w14:textId="77777777" w:rsidR="00C43455" w:rsidRDefault="00C43455">
      <w:pPr>
        <w:jc w:val="center"/>
        <w:rPr>
          <w:b/>
          <w:caps/>
        </w:rPr>
      </w:pPr>
    </w:p>
    <w:p w14:paraId="2042550E" w14:textId="77777777" w:rsidR="00C43455" w:rsidRDefault="001C39CA">
      <w:pPr>
        <w:jc w:val="center"/>
        <w:rPr>
          <w:sz w:val="22"/>
        </w:rPr>
      </w:pPr>
      <w:r>
        <w:rPr>
          <w:sz w:val="22"/>
        </w:rPr>
        <w:t>2015 m. gruodžio 22 d. Nr. XII-2238</w:t>
      </w:r>
    </w:p>
    <w:p w14:paraId="2042550F" w14:textId="77777777" w:rsidR="00C43455" w:rsidRDefault="001C39CA">
      <w:pPr>
        <w:jc w:val="center"/>
        <w:rPr>
          <w:sz w:val="22"/>
        </w:rPr>
      </w:pPr>
      <w:r>
        <w:rPr>
          <w:sz w:val="22"/>
        </w:rPr>
        <w:t>Vilnius</w:t>
      </w:r>
    </w:p>
    <w:p w14:paraId="20425510" w14:textId="77777777" w:rsidR="00C43455" w:rsidRDefault="00C43455">
      <w:pPr>
        <w:jc w:val="center"/>
        <w:rPr>
          <w:sz w:val="22"/>
        </w:rPr>
      </w:pPr>
    </w:p>
    <w:p w14:paraId="20425511" w14:textId="77777777" w:rsidR="00C43455" w:rsidRDefault="00C43455">
      <w:pPr>
        <w:spacing w:line="360" w:lineRule="auto"/>
        <w:ind w:firstLine="720"/>
        <w:jc w:val="both"/>
        <w:rPr>
          <w:sz w:val="16"/>
          <w:szCs w:val="16"/>
        </w:rPr>
      </w:pPr>
    </w:p>
    <w:p w14:paraId="20425512" w14:textId="77777777" w:rsidR="00C43455" w:rsidRDefault="00C43455">
      <w:pPr>
        <w:spacing w:line="360" w:lineRule="auto"/>
        <w:ind w:firstLine="720"/>
        <w:jc w:val="both"/>
        <w:sectPr w:rsidR="00C434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20425513" w14:textId="77777777" w:rsidR="00C43455" w:rsidRDefault="00C4345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0425514" w14:textId="77777777" w:rsidR="00C43455" w:rsidRDefault="001C39CA">
      <w:pPr>
        <w:spacing w:line="34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20</w:t>
      </w:r>
      <w:r>
        <w:rPr>
          <w:b/>
          <w:szCs w:val="24"/>
          <w:vertAlign w:val="superscript"/>
          <w:lang w:eastAsia="lt-LT"/>
        </w:rPr>
        <w:t>1</w:t>
      </w:r>
      <w:r>
        <w:rPr>
          <w:b/>
          <w:szCs w:val="24"/>
          <w:lang w:eastAsia="lt-LT"/>
        </w:rPr>
        <w:t xml:space="preserve"> straipsnio pakeitimas</w:t>
      </w:r>
    </w:p>
    <w:p w14:paraId="20425515" w14:textId="77777777" w:rsidR="00C43455" w:rsidRDefault="001C39CA">
      <w:pPr>
        <w:spacing w:line="340" w:lineRule="atLeast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20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straipsnio 5 dalį ir ją išdėstyti taip:</w:t>
      </w:r>
    </w:p>
    <w:p w14:paraId="20425516" w14:textId="77777777" w:rsidR="00C43455" w:rsidRDefault="001C39CA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Reprografijos įrenginių, už kuriuos turi būti mokamas kompensacinis atlyginimas, sąrašas, </w:t>
      </w:r>
      <w:r>
        <w:rPr>
          <w:szCs w:val="24"/>
          <w:lang w:eastAsia="lt-LT"/>
        </w:rPr>
        <w:t>kompensacinio atlyginimo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už reprografijos įrenginius ir už atgaminimo reprografijos būdu paslaugas tarifai, nustatyti šio Įstatymo 2 priede, turi būti peržiūrimi ne rečiau kaip kas dveji metai. Kitas kompensacinio atlyginimo mokėjimo sąlygas ir tvarką nust</w:t>
      </w:r>
      <w:r>
        <w:rPr>
          <w:szCs w:val="24"/>
          <w:lang w:eastAsia="lt-LT"/>
        </w:rPr>
        <w:t>ato Vyriausybė, suderinusi su kompensacinio atlyginimo mokėtojams atstovaujančiomis asociacijomis ir autorių teisių kolektyvinio administravimo asociacijomis.“</w:t>
      </w:r>
    </w:p>
    <w:p w14:paraId="20425517" w14:textId="77777777" w:rsidR="00C43455" w:rsidRDefault="001C39CA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20</w:t>
      </w:r>
      <w:r>
        <w:rPr>
          <w:szCs w:val="24"/>
          <w:vertAlign w:val="superscript"/>
          <w:lang w:eastAsia="lt-LT"/>
        </w:rPr>
        <w:t xml:space="preserve">1 </w:t>
      </w:r>
      <w:r>
        <w:rPr>
          <w:szCs w:val="24"/>
          <w:lang w:eastAsia="lt-LT"/>
        </w:rPr>
        <w:t>straipsnio 10 dalį ir ją išdėstyti taip:</w:t>
      </w:r>
    </w:p>
    <w:p w14:paraId="20425518" w14:textId="77777777" w:rsidR="00C43455" w:rsidRDefault="001C39CA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 xml:space="preserve">. Apskaitos dokumentuose, </w:t>
      </w:r>
      <w:r>
        <w:rPr>
          <w:szCs w:val="24"/>
          <w:lang w:eastAsia="lt-LT"/>
        </w:rPr>
        <w:t>kuriais įforminamas reprografijos įrenginių pardavimas, numatytas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šio straipsnio 4 dalyje, kompensacinio atlyginimo suma turi būti apskaičiuota, išskirta ir nurodyta atskira eilute, o išrašant sąskaitas jų pastabose nurodoma, kad reprografijos įrenginius į</w:t>
      </w:r>
      <w:r>
        <w:rPr>
          <w:szCs w:val="24"/>
          <w:lang w:eastAsia="lt-LT"/>
        </w:rPr>
        <w:t>sigijęs asmuo turi teisę susigrąžinti kompensacinį atlyginimą šio straipsnio 6 dalyje numatytais atvejais.“</w:t>
      </w:r>
    </w:p>
    <w:p w14:paraId="20425519" w14:textId="77777777" w:rsidR="00C43455" w:rsidRDefault="001C39CA">
      <w:pPr>
        <w:spacing w:line="340" w:lineRule="atLeast"/>
        <w:ind w:firstLine="720"/>
        <w:jc w:val="both"/>
        <w:rPr>
          <w:szCs w:val="24"/>
          <w:lang w:eastAsia="lt-LT"/>
        </w:rPr>
      </w:pPr>
    </w:p>
    <w:p w14:paraId="2042551A" w14:textId="77777777" w:rsidR="00C43455" w:rsidRDefault="001C39CA">
      <w:pPr>
        <w:tabs>
          <w:tab w:val="left" w:pos="851"/>
        </w:tabs>
        <w:spacing w:line="34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2 priedo pakeitimas</w:t>
      </w:r>
    </w:p>
    <w:p w14:paraId="2042551B" w14:textId="77777777" w:rsidR="00C43455" w:rsidRDefault="001C39CA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Įstatymo 2 priedą ir jį išdėstyti taip: </w:t>
      </w:r>
    </w:p>
    <w:p w14:paraId="2042551C" w14:textId="30083D0C" w:rsidR="00C43455" w:rsidRDefault="001C39CA">
      <w:pPr>
        <w:ind w:firstLine="6480"/>
        <w:rPr>
          <w:szCs w:val="24"/>
          <w:lang w:eastAsia="lt-LT"/>
        </w:rPr>
      </w:pPr>
      <w:r>
        <w:rPr>
          <w:szCs w:val="24"/>
          <w:lang w:eastAsia="lt-LT"/>
        </w:rPr>
        <w:t xml:space="preserve">„Lietuvos Respublikos </w:t>
      </w:r>
    </w:p>
    <w:p w14:paraId="2042551D" w14:textId="77777777" w:rsidR="00C43455" w:rsidRDefault="001C39CA">
      <w:pPr>
        <w:ind w:firstLine="6480"/>
        <w:rPr>
          <w:szCs w:val="24"/>
          <w:lang w:eastAsia="lt-LT"/>
        </w:rPr>
      </w:pPr>
      <w:r>
        <w:rPr>
          <w:szCs w:val="24"/>
          <w:lang w:eastAsia="lt-LT"/>
        </w:rPr>
        <w:t>autorių teisių ir g</w:t>
      </w:r>
      <w:r>
        <w:rPr>
          <w:szCs w:val="24"/>
          <w:lang w:eastAsia="lt-LT"/>
        </w:rPr>
        <w:t xml:space="preserve">retutinių </w:t>
      </w:r>
    </w:p>
    <w:p w14:paraId="2042551E" w14:textId="77777777" w:rsidR="00C43455" w:rsidRDefault="001C39CA">
      <w:pPr>
        <w:ind w:firstLine="6480"/>
        <w:rPr>
          <w:szCs w:val="24"/>
          <w:lang w:eastAsia="lt-LT"/>
        </w:rPr>
      </w:pPr>
      <w:r>
        <w:rPr>
          <w:szCs w:val="24"/>
          <w:lang w:eastAsia="lt-LT"/>
        </w:rPr>
        <w:t>teisių įstatymo</w:t>
      </w:r>
    </w:p>
    <w:p w14:paraId="2042551F" w14:textId="77777777" w:rsidR="00C43455" w:rsidRDefault="001C39CA">
      <w:pPr>
        <w:ind w:firstLine="6480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 priedas</w:t>
      </w:r>
    </w:p>
    <w:p w14:paraId="20425520" w14:textId="77777777" w:rsidR="00C43455" w:rsidRDefault="00C43455">
      <w:pPr>
        <w:spacing w:line="240" w:lineRule="atLeast"/>
        <w:ind w:firstLine="720"/>
        <w:jc w:val="center"/>
        <w:rPr>
          <w:bCs/>
          <w:szCs w:val="24"/>
          <w:lang w:eastAsia="lt-LT"/>
        </w:rPr>
      </w:pPr>
    </w:p>
    <w:p w14:paraId="20425521" w14:textId="77777777" w:rsidR="00C43455" w:rsidRDefault="001C39CA">
      <w:pPr>
        <w:ind w:firstLine="72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REPROGRAFIJOS ĮRENGINIAI, UŽ KURIUOS MOKAMAS KOMPENSACINIS ATLYGINIMAS, KOMPENSACINIO ATLYGINIMO UŽ REPROGRAFIJOS ĮRENGINIUS IR UŽ ATGAMINIMO REPROGRAFIJOS BŪDU PASLAUGAS TARIFAI</w:t>
      </w:r>
    </w:p>
    <w:p w14:paraId="20425522" w14:textId="3130DFC2" w:rsidR="00C43455" w:rsidRDefault="00C43455">
      <w:pPr>
        <w:spacing w:line="240" w:lineRule="atLeast"/>
        <w:jc w:val="center"/>
        <w:rPr>
          <w:rFonts w:ascii="TimesLT" w:hAnsi="TimesLT"/>
          <w:bCs/>
          <w:szCs w:val="24"/>
          <w:lang w:eastAsia="lt-LT"/>
        </w:rPr>
      </w:pPr>
    </w:p>
    <w:tbl>
      <w:tblPr>
        <w:tblW w:w="494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2"/>
        <w:gridCol w:w="1134"/>
        <w:gridCol w:w="1259"/>
        <w:gridCol w:w="2287"/>
      </w:tblGrid>
      <w:tr w:rsidR="00C43455" w14:paraId="20425524" w14:textId="7777777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5523" w14:textId="737FC17F" w:rsidR="00C43455" w:rsidRDefault="001C39C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I. Reprografijos įrenginiai, už kuriuos mokamas kompensacinis atlyginimas, ir kompensacinio atlyginimo už reprografijos įrenginius tarifai </w:t>
            </w:r>
          </w:p>
        </w:tc>
      </w:tr>
      <w:tr w:rsidR="00C43455" w14:paraId="20425529" w14:textId="77777777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5525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Įrenginiai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5526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Įrenginio sparta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5527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Kompensacinio atlyginimo tarifas</w:t>
            </w:r>
          </w:p>
          <w:p w14:paraId="20425528" w14:textId="77777777" w:rsidR="00C43455" w:rsidRDefault="001C39CA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(procentais)</w:t>
            </w:r>
          </w:p>
        </w:tc>
      </w:tr>
      <w:tr w:rsidR="00C43455" w14:paraId="2042552D" w14:textId="77777777">
        <w:trPr>
          <w:trHeight w:val="661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2A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Nespalviniai kopijuokliai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2B" w14:textId="77777777" w:rsidR="00C43455" w:rsidRDefault="00C43455">
            <w:pPr>
              <w:rPr>
                <w:szCs w:val="24"/>
                <w:lang w:eastAsia="lt-LT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2C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1,8–2,00</w:t>
            </w:r>
          </w:p>
        </w:tc>
      </w:tr>
      <w:tr w:rsidR="00C43455" w14:paraId="20425532" w14:textId="77777777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2E" w14:textId="77777777" w:rsidR="00C43455" w:rsidRDefault="00C43455">
            <w:pPr>
              <w:rPr>
                <w:szCs w:val="24"/>
                <w:lang w:eastAsia="lt-LT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2F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mažos spartos</w:t>
            </w:r>
          </w:p>
          <w:p w14:paraId="20425530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(nuo 12 iki 23 kopijų per minutę)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31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1,8</w:t>
            </w:r>
          </w:p>
        </w:tc>
      </w:tr>
      <w:tr w:rsidR="00C43455" w14:paraId="20425537" w14:textId="77777777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33" w14:textId="77777777" w:rsidR="00C43455" w:rsidRDefault="00C43455">
            <w:pPr>
              <w:rPr>
                <w:szCs w:val="24"/>
                <w:lang w:eastAsia="lt-LT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34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vidutinės spartos</w:t>
            </w:r>
          </w:p>
          <w:p w14:paraId="20425535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(nuo 24 iki 45 kopijų per minutę)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36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1,9</w:t>
            </w:r>
          </w:p>
        </w:tc>
      </w:tr>
      <w:tr w:rsidR="00C43455" w14:paraId="2042553C" w14:textId="77777777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38" w14:textId="77777777" w:rsidR="00C43455" w:rsidRDefault="00C43455">
            <w:pPr>
              <w:rPr>
                <w:szCs w:val="24"/>
                <w:lang w:eastAsia="lt-LT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39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didelės spartos</w:t>
            </w:r>
          </w:p>
          <w:p w14:paraId="2042553A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(nuo 46 iki 90 kopijų per minutę)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3B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2,00</w:t>
            </w:r>
          </w:p>
        </w:tc>
      </w:tr>
      <w:tr w:rsidR="00C43455" w14:paraId="20425540" w14:textId="77777777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3D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Spalviniai kopijuokliai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3E" w14:textId="77777777" w:rsidR="00C43455" w:rsidRDefault="00C43455">
            <w:pPr>
              <w:rPr>
                <w:szCs w:val="24"/>
                <w:lang w:eastAsia="lt-LT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3F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2,7–3,00</w:t>
            </w:r>
          </w:p>
        </w:tc>
      </w:tr>
      <w:tr w:rsidR="00C43455" w14:paraId="20425545" w14:textId="77777777">
        <w:trPr>
          <w:trHeight w:val="721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41" w14:textId="77777777" w:rsidR="00C43455" w:rsidRDefault="00C43455">
            <w:pPr>
              <w:rPr>
                <w:szCs w:val="24"/>
                <w:lang w:eastAsia="lt-LT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42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mažos spartos</w:t>
            </w:r>
          </w:p>
          <w:p w14:paraId="20425543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(nuo 12 iki 23 kopijų per minutę)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44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2,7</w:t>
            </w:r>
          </w:p>
        </w:tc>
      </w:tr>
      <w:tr w:rsidR="00C43455" w14:paraId="2042554A" w14:textId="77777777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46" w14:textId="77777777" w:rsidR="00C43455" w:rsidRDefault="00C43455">
            <w:pPr>
              <w:rPr>
                <w:szCs w:val="24"/>
                <w:lang w:eastAsia="lt-LT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47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vidutinės spartos</w:t>
            </w:r>
          </w:p>
          <w:p w14:paraId="20425548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(nuo 24 iki 45 kopijų per minutę)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49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2,85</w:t>
            </w:r>
          </w:p>
        </w:tc>
      </w:tr>
      <w:tr w:rsidR="00C43455" w14:paraId="2042554F" w14:textId="77777777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4B" w14:textId="77777777" w:rsidR="00C43455" w:rsidRDefault="00C43455">
            <w:pPr>
              <w:rPr>
                <w:szCs w:val="24"/>
                <w:lang w:eastAsia="lt-LT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4C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didelės spartos</w:t>
            </w:r>
          </w:p>
          <w:p w14:paraId="2042554D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(nuo 46 iki 90 kopijų per minutę)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4E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3,00</w:t>
            </w:r>
          </w:p>
        </w:tc>
      </w:tr>
      <w:tr w:rsidR="00C43455" w14:paraId="20425553" w14:textId="77777777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50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Nespalviniai daugiafunkciai kopijuokliai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51" w14:textId="77777777" w:rsidR="00C43455" w:rsidRDefault="00C43455">
            <w:pPr>
              <w:rPr>
                <w:szCs w:val="24"/>
                <w:lang w:eastAsia="lt-LT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52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0,6–0,7</w:t>
            </w:r>
          </w:p>
        </w:tc>
      </w:tr>
      <w:tr w:rsidR="00C43455" w14:paraId="20425558" w14:textId="77777777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54" w14:textId="77777777" w:rsidR="00C43455" w:rsidRDefault="00C43455">
            <w:pPr>
              <w:rPr>
                <w:szCs w:val="24"/>
                <w:lang w:eastAsia="lt-LT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55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mažos spartos</w:t>
            </w:r>
          </w:p>
          <w:p w14:paraId="20425556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(nuo 12 iki 23 kopijų per minutę)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57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0,6</w:t>
            </w:r>
          </w:p>
        </w:tc>
      </w:tr>
      <w:tr w:rsidR="00C43455" w14:paraId="2042555D" w14:textId="77777777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59" w14:textId="77777777" w:rsidR="00C43455" w:rsidRDefault="00C43455">
            <w:pPr>
              <w:rPr>
                <w:szCs w:val="24"/>
                <w:lang w:eastAsia="lt-LT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5A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vidutinės spartos</w:t>
            </w:r>
          </w:p>
          <w:p w14:paraId="2042555B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(nuo 24 </w:t>
            </w:r>
            <w:r>
              <w:rPr>
                <w:szCs w:val="24"/>
                <w:lang w:eastAsia="lt-LT"/>
              </w:rPr>
              <w:t>iki 45 kopijų per minutę)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5C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0,65</w:t>
            </w:r>
          </w:p>
        </w:tc>
      </w:tr>
      <w:tr w:rsidR="00C43455" w14:paraId="20425562" w14:textId="77777777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5E" w14:textId="77777777" w:rsidR="00C43455" w:rsidRDefault="00C43455">
            <w:pPr>
              <w:rPr>
                <w:szCs w:val="24"/>
                <w:lang w:eastAsia="lt-LT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5F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didelės spartos</w:t>
            </w:r>
          </w:p>
          <w:p w14:paraId="20425560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(nuo 46 iki 90 kopijų per minutę)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61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0,7</w:t>
            </w:r>
          </w:p>
        </w:tc>
      </w:tr>
      <w:tr w:rsidR="00C43455" w14:paraId="20425566" w14:textId="77777777">
        <w:trPr>
          <w:trHeight w:val="74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63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Spalviniai daugiafunkciai kopijuokliai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64" w14:textId="77777777" w:rsidR="00C43455" w:rsidRDefault="00C43455">
            <w:pPr>
              <w:rPr>
                <w:szCs w:val="24"/>
                <w:lang w:eastAsia="lt-LT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65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0,9–1,00</w:t>
            </w:r>
          </w:p>
        </w:tc>
      </w:tr>
      <w:tr w:rsidR="00C43455" w14:paraId="2042556B" w14:textId="77777777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67" w14:textId="77777777" w:rsidR="00C43455" w:rsidRDefault="00C43455">
            <w:pPr>
              <w:rPr>
                <w:szCs w:val="24"/>
                <w:lang w:eastAsia="lt-LT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68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mažos spartos</w:t>
            </w:r>
          </w:p>
          <w:p w14:paraId="20425569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(nuo 12 iki 23 kopijų per minutę)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6A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0,9</w:t>
            </w:r>
          </w:p>
        </w:tc>
      </w:tr>
      <w:tr w:rsidR="00C43455" w14:paraId="20425570" w14:textId="77777777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6C" w14:textId="77777777" w:rsidR="00C43455" w:rsidRDefault="00C43455">
            <w:pPr>
              <w:rPr>
                <w:szCs w:val="24"/>
                <w:lang w:eastAsia="lt-LT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6D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vidutinės spartos</w:t>
            </w:r>
          </w:p>
          <w:p w14:paraId="2042556E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(nuo 24 iki 45 kopijų per minutę)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6F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0,95</w:t>
            </w:r>
          </w:p>
        </w:tc>
      </w:tr>
      <w:tr w:rsidR="00C43455" w14:paraId="20425575" w14:textId="77777777">
        <w:trPr>
          <w:trHeight w:val="439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71" w14:textId="77777777" w:rsidR="00C43455" w:rsidRDefault="00C43455">
            <w:pPr>
              <w:rPr>
                <w:szCs w:val="24"/>
                <w:lang w:eastAsia="lt-LT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72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didelės spartos</w:t>
            </w:r>
          </w:p>
          <w:p w14:paraId="20425573" w14:textId="77777777" w:rsidR="00C43455" w:rsidRDefault="001C39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(nuo 46 iki 90 kopijų per minutę)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74" w14:textId="77777777" w:rsidR="00C43455" w:rsidRDefault="001C39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1,00</w:t>
            </w:r>
          </w:p>
        </w:tc>
      </w:tr>
      <w:tr w:rsidR="00C43455" w14:paraId="20425577" w14:textId="77777777">
        <w:trPr>
          <w:trHeight w:val="4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576" w14:textId="77777777" w:rsidR="00C43455" w:rsidRDefault="001C39C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u w:val="single"/>
                <w:lang w:eastAsia="lt-LT"/>
              </w:rPr>
              <w:t>Pastaba.</w:t>
            </w:r>
            <w:r>
              <w:rPr>
                <w:szCs w:val="24"/>
                <w:lang w:eastAsia="lt-LT"/>
              </w:rPr>
              <w:t xml:space="preserve"> Kompensacinio atlyginimo tarifas nustatomas procentais nuo šiame priede numatytų Lietuvos Respublikoje parduodamų civilinėje apyvartoje esančių, Lietuvos Respublikoje pagamintų ar į Lietuvos Respublikos teritoriją įvežtų reprografijos įrenginių pirmojo pa</w:t>
            </w:r>
            <w:r>
              <w:rPr>
                <w:szCs w:val="24"/>
                <w:lang w:eastAsia="lt-LT"/>
              </w:rPr>
              <w:t>rdavimo Lietuvos Respublikoje kainos be mokesčių.</w:t>
            </w:r>
          </w:p>
        </w:tc>
      </w:tr>
      <w:tr w:rsidR="00C43455" w14:paraId="2042557A" w14:textId="77777777">
        <w:trPr>
          <w:trHeight w:val="4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5578" w14:textId="77777777" w:rsidR="00C43455" w:rsidRDefault="001C39CA">
            <w:pPr>
              <w:tabs>
                <w:tab w:val="left" w:pos="1134"/>
              </w:tabs>
              <w:ind w:right="282" w:firstLine="709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 xml:space="preserve">II. Kompensacinio atlyginimo už atgaminimo reprografijos būdu paslaugas tarifai </w:t>
            </w:r>
          </w:p>
          <w:p w14:paraId="20425579" w14:textId="77777777" w:rsidR="00C43455" w:rsidRDefault="001C39CA">
            <w:pPr>
              <w:tabs>
                <w:tab w:val="left" w:pos="1134"/>
              </w:tabs>
              <w:ind w:right="282" w:firstLine="709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(eurais)</w:t>
            </w:r>
          </w:p>
        </w:tc>
      </w:tr>
      <w:tr w:rsidR="00C43455" w14:paraId="2042557F" w14:textId="77777777">
        <w:trPr>
          <w:trHeight w:val="45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557B" w14:textId="77777777" w:rsidR="00C43455" w:rsidRDefault="001C39CA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Reprografijos įrenginio galingumas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557C" w14:textId="77777777" w:rsidR="00C43455" w:rsidRDefault="001C39CA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 xml:space="preserve">Už paslaugas, teikiamas bibliotekose, švietimo įstaigose, mokslo ir studijų </w:t>
            </w:r>
            <w:r>
              <w:rPr>
                <w:color w:val="000000"/>
                <w:szCs w:val="24"/>
                <w:lang w:eastAsia="lt-LT"/>
              </w:rPr>
              <w:t>institucijose ar netoli švietimo įstaigų, mokslo ir studijų institucijų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557D" w14:textId="77777777" w:rsidR="00C43455" w:rsidRDefault="001C39CA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Už paslaugas, teikiamas toli nuo švietimo įstaigų, mokslo ir studijų institucijų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557E" w14:textId="77777777" w:rsidR="00C43455" w:rsidRDefault="001C39CA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Už paslaugas, teikiamas vietovėse, kuriose nėra švietimo įstaigų, mokslo ir studijų institucijų</w:t>
            </w:r>
          </w:p>
        </w:tc>
      </w:tr>
      <w:tr w:rsidR="00C43455" w14:paraId="20425584" w14:textId="77777777">
        <w:trPr>
          <w:trHeight w:val="447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5580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Mažiau</w:t>
            </w:r>
            <w:r>
              <w:rPr>
                <w:color w:val="000000"/>
                <w:szCs w:val="24"/>
                <w:lang w:eastAsia="lt-LT"/>
              </w:rPr>
              <w:t xml:space="preserve"> kaip 6 kopijos per minutę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81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17,37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82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11,58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83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8,68</w:t>
            </w:r>
          </w:p>
        </w:tc>
      </w:tr>
      <w:tr w:rsidR="00C43455" w14:paraId="20425589" w14:textId="77777777">
        <w:trPr>
          <w:trHeight w:val="447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5585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Nuo 6 iki 19 kopijų per minutę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86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34,75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87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23,16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88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17,37</w:t>
            </w:r>
          </w:p>
        </w:tc>
      </w:tr>
      <w:tr w:rsidR="00C43455" w14:paraId="2042558E" w14:textId="77777777">
        <w:trPr>
          <w:trHeight w:val="447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558A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Nuo 20 iki 39 kopijų per minutę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8B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52,13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8C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37,65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8D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26,06</w:t>
            </w:r>
          </w:p>
        </w:tc>
      </w:tr>
      <w:tr w:rsidR="00C43455" w14:paraId="20425593" w14:textId="77777777">
        <w:trPr>
          <w:trHeight w:val="447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558F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Nuo 40 iki 59 kopijų per minutę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90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81,09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91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55,02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92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34,75</w:t>
            </w:r>
          </w:p>
        </w:tc>
      </w:tr>
      <w:tr w:rsidR="00C43455" w14:paraId="20425598" w14:textId="77777777">
        <w:trPr>
          <w:trHeight w:val="447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5594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Nuo 60 iki 89 kopijų per minutę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95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98,47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96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75,30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97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49,23</w:t>
            </w:r>
          </w:p>
        </w:tc>
      </w:tr>
      <w:tr w:rsidR="00C43455" w14:paraId="2042559D" w14:textId="77777777">
        <w:trPr>
          <w:trHeight w:val="447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5599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 xml:space="preserve">Daugiau </w:t>
            </w:r>
            <w:r>
              <w:rPr>
                <w:color w:val="000000"/>
                <w:szCs w:val="24"/>
                <w:lang w:eastAsia="lt-LT"/>
              </w:rPr>
              <w:t>kaip 89 kopijos per minutę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9A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115,84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9B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92,67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9C" w14:textId="77777777" w:rsidR="00C43455" w:rsidRDefault="001C39CA">
            <w:pPr>
              <w:tabs>
                <w:tab w:val="left" w:pos="1134"/>
              </w:tabs>
              <w:suppressAutoHyphens/>
              <w:ind w:right="282"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lt-LT"/>
              </w:rPr>
              <w:t>57,92</w:t>
            </w:r>
          </w:p>
        </w:tc>
      </w:tr>
      <w:tr w:rsidR="00C43455" w14:paraId="204255A2" w14:textId="77777777">
        <w:trPr>
          <w:trHeight w:val="4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559E" w14:textId="77777777" w:rsidR="00C43455" w:rsidRDefault="001C39CA">
            <w:pPr>
              <w:tabs>
                <w:tab w:val="left" w:pos="1134"/>
              </w:tabs>
              <w:ind w:right="282"/>
              <w:jc w:val="both"/>
              <w:rPr>
                <w:color w:val="000000"/>
                <w:szCs w:val="24"/>
                <w:u w:val="single"/>
                <w:lang w:eastAsia="lt-LT"/>
              </w:rPr>
            </w:pPr>
            <w:r>
              <w:rPr>
                <w:color w:val="000000"/>
                <w:szCs w:val="24"/>
                <w:u w:val="single"/>
                <w:lang w:eastAsia="lt-LT"/>
              </w:rPr>
              <w:t xml:space="preserve">Pastabos: </w:t>
            </w:r>
          </w:p>
          <w:p w14:paraId="2042559F" w14:textId="77777777" w:rsidR="00C43455" w:rsidRDefault="001C39CA">
            <w:pPr>
              <w:tabs>
                <w:tab w:val="left" w:pos="1134"/>
              </w:tabs>
              <w:ind w:right="34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1. Reprografijos paslaugas teikiantys asmenys </w:t>
            </w:r>
            <w:r>
              <w:rPr>
                <w:szCs w:val="24"/>
                <w:lang w:eastAsia="lt-LT"/>
              </w:rPr>
              <w:t xml:space="preserve">kompensacinį atlyginimą, skaičiuojamą už reprografijos paslaugas, moka vieną kartą per metus, pasibaigus kalendoriniams metams, už kuriuos mokamas </w:t>
            </w:r>
            <w:r>
              <w:rPr>
                <w:szCs w:val="24"/>
                <w:lang w:eastAsia="lt-LT"/>
              </w:rPr>
              <w:t>kompensacinis atlyginimas.</w:t>
            </w:r>
          </w:p>
          <w:p w14:paraId="204255A0" w14:textId="77777777" w:rsidR="00C43455" w:rsidRDefault="001C39CA">
            <w:pPr>
              <w:tabs>
                <w:tab w:val="left" w:pos="1134"/>
              </w:tabs>
              <w:ind w:right="34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2. Laikoma, kad reprografijos paslaugos teikiamos netoli švietimo įstaigos, mokslo ir studijų institucijos, jeigu švietimo įstaiga, mokslo ir studijų institucija yra ne toliau kaip už 500 metrų nuo reprografijos paslaugų teikimo </w:t>
            </w:r>
            <w:r>
              <w:rPr>
                <w:color w:val="000000"/>
                <w:szCs w:val="24"/>
                <w:lang w:eastAsia="lt-LT"/>
              </w:rPr>
              <w:t>vietos.</w:t>
            </w:r>
          </w:p>
          <w:p w14:paraId="204255A1" w14:textId="77777777" w:rsidR="00C43455" w:rsidRDefault="001C39CA">
            <w:pPr>
              <w:tabs>
                <w:tab w:val="left" w:pos="1134"/>
              </w:tabs>
              <w:ind w:right="34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 Tais atvejais, kai reprografijos paslaugoms naudojami reprografijos įrenginiai, darantys spalvotas kopijas, kompensacinio atlyginimo tarifai didinami 25 procentais.“</w:t>
            </w:r>
          </w:p>
        </w:tc>
      </w:tr>
    </w:tbl>
    <w:p w14:paraId="204255A3" w14:textId="77777777" w:rsidR="00C43455" w:rsidRDefault="00C43455">
      <w:pPr>
        <w:ind w:firstLine="10788"/>
        <w:rPr>
          <w:rFonts w:ascii="TimesLT" w:hAnsi="TimesLT"/>
          <w:szCs w:val="24"/>
          <w:lang w:eastAsia="lt-LT"/>
        </w:rPr>
      </w:pPr>
    </w:p>
    <w:p w14:paraId="204255A4" w14:textId="3D229A21" w:rsidR="00C43455" w:rsidRDefault="001C39CA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204255A5" w14:textId="77777777" w:rsidR="00C43455" w:rsidRDefault="001C39CA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 ir įgyvendinimas</w:t>
      </w:r>
    </w:p>
    <w:p w14:paraId="204255A6" w14:textId="77777777" w:rsidR="00C43455" w:rsidRDefault="001C39C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Šis įstatymas, išskyrus šio straipsnio 2 dalį, įsigalioja 2016 m. birželio 1 d. </w:t>
      </w:r>
    </w:p>
    <w:p w14:paraId="204255A7" w14:textId="77777777" w:rsidR="00C43455" w:rsidRDefault="001C39C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Lietuvos Respublikos Vyriausybė iki šio įstatymo įsigaliojimo priima šio įstatymo įgyvendinamuosius teisės aktus.</w:t>
      </w:r>
    </w:p>
    <w:p w14:paraId="204255A8" w14:textId="77777777" w:rsidR="00C43455" w:rsidRDefault="001C39CA">
      <w:pPr>
        <w:spacing w:line="360" w:lineRule="auto"/>
        <w:ind w:firstLine="720"/>
        <w:jc w:val="both"/>
        <w:rPr>
          <w:szCs w:val="24"/>
          <w:lang w:eastAsia="lt-LT"/>
        </w:rPr>
      </w:pPr>
    </w:p>
    <w:bookmarkStart w:id="0" w:name="_GoBack" w:displacedByCustomXml="prev"/>
    <w:p w14:paraId="204255A9" w14:textId="77777777" w:rsidR="00C43455" w:rsidRDefault="001C39CA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</w:t>
      </w:r>
      <w:r>
        <w:rPr>
          <w:i/>
          <w:szCs w:val="24"/>
        </w:rPr>
        <w:t>statymą.</w:t>
      </w:r>
    </w:p>
    <w:p w14:paraId="204255AA" w14:textId="77777777" w:rsidR="00C43455" w:rsidRDefault="00C43455">
      <w:pPr>
        <w:spacing w:line="360" w:lineRule="auto"/>
        <w:rPr>
          <w:i/>
          <w:szCs w:val="24"/>
        </w:rPr>
      </w:pPr>
    </w:p>
    <w:p w14:paraId="204255AB" w14:textId="77777777" w:rsidR="00C43455" w:rsidRDefault="00C43455">
      <w:pPr>
        <w:spacing w:line="360" w:lineRule="auto"/>
        <w:rPr>
          <w:i/>
          <w:szCs w:val="24"/>
        </w:rPr>
      </w:pPr>
    </w:p>
    <w:p w14:paraId="204255AC" w14:textId="77777777" w:rsidR="00C43455" w:rsidRDefault="00C43455">
      <w:pPr>
        <w:spacing w:line="360" w:lineRule="auto"/>
      </w:pPr>
    </w:p>
    <w:p w14:paraId="204255AD" w14:textId="77777777" w:rsidR="00C43455" w:rsidRDefault="001C39CA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C43455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255B2" w14:textId="77777777" w:rsidR="00C43455" w:rsidRDefault="001C39C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04255B3" w14:textId="77777777" w:rsidR="00C43455" w:rsidRDefault="001C39C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255B8" w14:textId="77777777" w:rsidR="00C43455" w:rsidRDefault="001C39C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04255B9" w14:textId="77777777" w:rsidR="00C43455" w:rsidRDefault="00C4345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255BA" w14:textId="77777777" w:rsidR="00C43455" w:rsidRDefault="00C4345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255BC" w14:textId="77777777" w:rsidR="00C43455" w:rsidRDefault="00C4345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255B0" w14:textId="77777777" w:rsidR="00C43455" w:rsidRDefault="001C39C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204255B1" w14:textId="77777777" w:rsidR="00C43455" w:rsidRDefault="001C39C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255B4" w14:textId="77777777" w:rsidR="00C43455" w:rsidRDefault="001C39C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204255B5" w14:textId="77777777" w:rsidR="00C43455" w:rsidRDefault="00C4345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255B6" w14:textId="77777777" w:rsidR="00C43455" w:rsidRDefault="001C39CA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3</w:t>
    </w:r>
    <w:r>
      <w:rPr>
        <w:szCs w:val="24"/>
        <w:lang w:val="en-US"/>
      </w:rPr>
      <w:fldChar w:fldCharType="end"/>
    </w:r>
  </w:p>
  <w:p w14:paraId="204255B7" w14:textId="77777777" w:rsidR="00C43455" w:rsidRDefault="00C4345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255BB" w14:textId="77777777" w:rsidR="00C43455" w:rsidRDefault="00C4345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7C"/>
    <w:rsid w:val="001C39CA"/>
    <w:rsid w:val="005A137C"/>
    <w:rsid w:val="00C4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25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C39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C39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CE"/>
    <w:rsid w:val="003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19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19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4793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2016-01-06T15:13:00Z</dcterms:created>
  <dc:creator>MANIUŠKIENĖ Violeta</dc:creator>
  <lastModifiedBy>GUMBYTĖ Danguolė</lastModifiedBy>
  <lastPrinted>2004-12-10T05:45:00Z</lastPrinted>
  <dcterms:modified xsi:type="dcterms:W3CDTF">2016-01-06T15:26:00Z</dcterms:modified>
  <revision>3</revision>
</coreProperties>
</file>