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B419C" w14:textId="77777777" w:rsidR="00C062DC" w:rsidRDefault="00C062DC">
      <w:pPr>
        <w:jc w:val="right"/>
      </w:pPr>
    </w:p>
    <w:p w14:paraId="1E6B419D" w14:textId="77777777" w:rsidR="00C062DC" w:rsidRDefault="00A665C5">
      <w:pPr>
        <w:jc w:val="center"/>
      </w:pPr>
      <w:r>
        <w:rPr>
          <w:noProof/>
          <w:position w:val="-36"/>
          <w:lang w:eastAsia="lt-LT"/>
        </w:rPr>
        <w:drawing>
          <wp:inline distT="0" distB="0" distL="0" distR="0" wp14:anchorId="1E6B41C2" wp14:editId="1E6B41C3">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solidFill>
                      <a:srgbClr val="FFFFFF"/>
                    </a:solidFill>
                    <a:ln>
                      <a:noFill/>
                    </a:ln>
                  </pic:spPr>
                </pic:pic>
              </a:graphicData>
            </a:graphic>
          </wp:inline>
        </w:drawing>
      </w:r>
    </w:p>
    <w:p w14:paraId="1E6B419E" w14:textId="77777777" w:rsidR="00C062DC" w:rsidRDefault="00C062DC">
      <w:pPr>
        <w:jc w:val="center"/>
      </w:pPr>
    </w:p>
    <w:p w14:paraId="1E6B419F" w14:textId="77777777" w:rsidR="00C062DC" w:rsidRDefault="00A665C5">
      <w:pPr>
        <w:jc w:val="center"/>
        <w:rPr>
          <w:b/>
        </w:rPr>
      </w:pPr>
      <w:r>
        <w:rPr>
          <w:b/>
          <w:noProof/>
          <w:lang w:eastAsia="lt-LT"/>
        </w:rPr>
        <w:drawing>
          <wp:anchor distT="0" distB="0" distL="114300" distR="114300" simplePos="0" relativeHeight="251659264" behindDoc="0" locked="0" layoutInCell="1" allowOverlap="1" wp14:anchorId="1E6B41C4" wp14:editId="1E6B41C5">
            <wp:simplePos x="0" y="0"/>
            <wp:positionH relativeFrom="column">
              <wp:posOffset>-1080135</wp:posOffset>
            </wp:positionH>
            <wp:positionV relativeFrom="paragraph">
              <wp:posOffset>-720090</wp:posOffset>
            </wp:positionV>
            <wp:extent cx="9525" cy="9525"/>
            <wp:effectExtent l="0" t="0" r="0" b="0"/>
            <wp:wrapNone/>
            <wp:docPr id="2" name="Paveikslėlis 2"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LIETUVOS RESPUBLIKOS APLINKOS MINISTRAS</w:t>
      </w:r>
    </w:p>
    <w:p w14:paraId="1E6B41A0" w14:textId="77777777" w:rsidR="00C062DC" w:rsidRDefault="00C062DC">
      <w:pPr>
        <w:jc w:val="center"/>
      </w:pPr>
    </w:p>
    <w:p w14:paraId="1E6B41A1" w14:textId="77777777" w:rsidR="00C062DC" w:rsidRDefault="00A665C5">
      <w:pPr>
        <w:jc w:val="center"/>
        <w:rPr>
          <w:b/>
        </w:rPr>
      </w:pPr>
      <w:r>
        <w:rPr>
          <w:b/>
        </w:rPr>
        <w:t>ĮSAKYMAS</w:t>
      </w:r>
    </w:p>
    <w:p w14:paraId="1E6B41A2" w14:textId="77777777" w:rsidR="00C062DC" w:rsidRDefault="00A665C5">
      <w:pPr>
        <w:jc w:val="center"/>
        <w:rPr>
          <w:szCs w:val="24"/>
          <w:lang w:eastAsia="lt-LT"/>
        </w:rPr>
      </w:pPr>
      <w:r>
        <w:rPr>
          <w:b/>
          <w:bCs/>
          <w:caps/>
          <w:color w:val="000000"/>
          <w:szCs w:val="24"/>
          <w:lang w:eastAsia="lt-LT"/>
        </w:rPr>
        <w:t>DĖL Lietuvos Respublikos APLINKOS MINISTRO 2006 m. gruodžio 29 d. įsakymo Nr. D1-631 „Dėl duomenų ir informacijos teikimo pagal 2006 m. sausio 18 d. Europos Parlamento ir Tarybos reglamentą (EB) Nr. 166/2006 dėl Europos išleidžiamų ir perduodamų teršalų registro sukūrimo ir iš dalies keičiantį Tarybos direktyvas 91/689/EEB ir 96/61/EB“ pakeitimo</w:t>
      </w:r>
    </w:p>
    <w:p w14:paraId="1E6B41A3" w14:textId="77777777" w:rsidR="00C062DC" w:rsidRDefault="00C062DC">
      <w:pPr>
        <w:jc w:val="center"/>
      </w:pPr>
    </w:p>
    <w:p w14:paraId="1E6B41A4" w14:textId="77777777" w:rsidR="00C062DC" w:rsidRDefault="00A665C5">
      <w:pPr>
        <w:jc w:val="center"/>
      </w:pPr>
      <w:r>
        <w:t>2014 m. kovo 6 d. Nr. D1-264</w:t>
      </w:r>
    </w:p>
    <w:p w14:paraId="1E6B41A5" w14:textId="77777777" w:rsidR="00C062DC" w:rsidRDefault="00A665C5">
      <w:pPr>
        <w:jc w:val="center"/>
      </w:pPr>
      <w:r>
        <w:t>Vilnius</w:t>
      </w:r>
    </w:p>
    <w:p w14:paraId="1E6B41A6" w14:textId="77777777" w:rsidR="00C062DC" w:rsidRDefault="00C062DC">
      <w:pPr>
        <w:jc w:val="center"/>
      </w:pPr>
    </w:p>
    <w:p w14:paraId="1E6B41A7" w14:textId="77777777" w:rsidR="00C062DC" w:rsidRDefault="008014B4">
      <w:pPr>
        <w:tabs>
          <w:tab w:val="left" w:pos="993"/>
        </w:tabs>
        <w:ind w:firstLine="993"/>
        <w:contextualSpacing/>
        <w:jc w:val="both"/>
      </w:pPr>
      <w:r w:rsidR="00A665C5">
        <w:rPr>
          <w:spacing w:val="40"/>
        </w:rPr>
        <w:t>1</w:t>
      </w:r>
      <w:r w:rsidR="00A665C5">
        <w:rPr>
          <w:spacing w:val="40"/>
        </w:rPr>
        <w:t>. Pakeičiu</w:t>
      </w:r>
      <w:r w:rsidR="00A665C5">
        <w:t xml:space="preserve"> Lietuvos Respublikos aplinkos ministro 2006 m. gruodžio 29 d. įsakymą Nr. D1-631 </w:t>
      </w:r>
      <w:r w:rsidR="00A665C5">
        <w:rPr>
          <w:color w:val="000000"/>
        </w:rPr>
        <w:t>„Dėl duomenų ir informacijos teikimo pagal 2006 m. sausio 18 d. Europos Parlamento ir Tarybos reglamentą (EB) Nr. 166/2006 dėl Europos išleidžiamų ir perduodamų teršalų registro sukūrimo ir iš dalies keičiantį Tarybos direktyvas 91/689/EEB ir 96/61/EB“ ir išdėstau jį nauja redakcija:</w:t>
      </w:r>
    </w:p>
    <w:p w14:paraId="1E6B41A8" w14:textId="77777777" w:rsidR="00C062DC" w:rsidRDefault="00C062DC">
      <w:pPr>
        <w:ind w:firstLine="709"/>
        <w:jc w:val="both"/>
      </w:pPr>
    </w:p>
    <w:p w14:paraId="1E6B41A9" w14:textId="06F01179" w:rsidR="00C062DC" w:rsidRDefault="00A665C5" w:rsidP="008014B4">
      <w:pPr>
        <w:jc w:val="center"/>
        <w:rPr>
          <w:b/>
        </w:rPr>
      </w:pPr>
      <w:r>
        <w:rPr>
          <w:b/>
          <w:noProof/>
          <w:lang w:eastAsia="lt-LT"/>
        </w:rPr>
        <w:drawing>
          <wp:anchor distT="0" distB="0" distL="114300" distR="114300" simplePos="0" relativeHeight="251660288" behindDoc="0" locked="0" layoutInCell="1" allowOverlap="1" wp14:anchorId="1E6B41C6" wp14:editId="1E6B41C7">
            <wp:simplePos x="0" y="0"/>
            <wp:positionH relativeFrom="column">
              <wp:posOffset>-1080135</wp:posOffset>
            </wp:positionH>
            <wp:positionV relativeFrom="paragraph">
              <wp:posOffset>-720090</wp:posOffset>
            </wp:positionV>
            <wp:extent cx="9525" cy="9525"/>
            <wp:effectExtent l="0" t="0" r="0" b="0"/>
            <wp:wrapNone/>
            <wp:docPr id="3" name="Paveikslėlis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w:t>
      </w:r>
      <w:r>
        <w:rPr>
          <w:b/>
        </w:rPr>
        <w:t>LIETUVOS RESPUBLIKOS APLINKOS MINISTRAS</w:t>
      </w:r>
    </w:p>
    <w:p w14:paraId="1E6B41AA" w14:textId="69B6DC81" w:rsidR="00C062DC" w:rsidRDefault="00C062DC">
      <w:pPr>
        <w:ind w:firstLine="709"/>
        <w:jc w:val="center"/>
      </w:pPr>
    </w:p>
    <w:p w14:paraId="1E6B41AB" w14:textId="71BB7F32" w:rsidR="00C062DC" w:rsidRDefault="00A665C5" w:rsidP="008014B4">
      <w:pPr>
        <w:jc w:val="center"/>
        <w:rPr>
          <w:b/>
        </w:rPr>
      </w:pPr>
      <w:r>
        <w:rPr>
          <w:b/>
        </w:rPr>
        <w:t>ĮSAKYMAS</w:t>
      </w:r>
    </w:p>
    <w:p w14:paraId="1E6B41AC" w14:textId="53DE512C" w:rsidR="00C062DC" w:rsidRDefault="00A665C5" w:rsidP="008014B4">
      <w:pPr>
        <w:jc w:val="center"/>
        <w:rPr>
          <w:caps/>
        </w:rPr>
      </w:pPr>
      <w:r>
        <w:rPr>
          <w:b/>
          <w:bCs/>
          <w:caps/>
        </w:rPr>
        <w:t>Dėl duomenų ir informacijos teikimo pagal 2006 m. sausio 18 d. Europos Parlamento ir Tarybos reglamentą (EB) Nr. 166/2006 dėl Europos išleidžiamų ir perduodamų teršalų registro sukūrimo ir iš dalies keičiantį Tarybos direktyvas 91/689/EEB ir 96/61/EB</w:t>
      </w:r>
    </w:p>
    <w:p w14:paraId="1E6B41AD" w14:textId="107203E0" w:rsidR="00C062DC" w:rsidRDefault="00C062DC">
      <w:pPr>
        <w:ind w:firstLine="709"/>
        <w:jc w:val="both"/>
      </w:pPr>
    </w:p>
    <w:p w14:paraId="1E6B41AE" w14:textId="190654D8" w:rsidR="00C062DC" w:rsidRDefault="00A665C5">
      <w:pPr>
        <w:widowControl w:val="0"/>
        <w:shd w:val="clear" w:color="auto" w:fill="FFFFFF"/>
        <w:ind w:firstLine="709"/>
        <w:jc w:val="both"/>
      </w:pPr>
      <w:r>
        <w:t>Vadovaudamasis Lietuvos Respublikos aplinkos apsaugos įstatymo 19 straipsniu ir įgyvendindamas 2006 m. sausio 18 d. Europos Parlamento ir Tarybos reglamento (EB) Nr. 166/2006 dėl Europos išleidžiamų ir perduodamų teršalų registro sukūrimo ir iš dalies keičiančio Tarybos direktyvas 91/689/EEB ir 96/61/EB (OL 2006 L 33, p. 1) (toliau – Reglamentas) nuostatas:</w:t>
      </w:r>
    </w:p>
    <w:p w14:paraId="1E6B41AF" w14:textId="77777777" w:rsidR="00C062DC" w:rsidRDefault="008014B4">
      <w:pPr>
        <w:widowControl w:val="0"/>
        <w:shd w:val="clear" w:color="auto" w:fill="FFFFFF"/>
        <w:ind w:firstLine="709"/>
        <w:jc w:val="both"/>
      </w:pPr>
      <w:r w:rsidR="00A665C5">
        <w:t>1</w:t>
      </w:r>
      <w:r w:rsidR="00A665C5">
        <w:t xml:space="preserve">. </w:t>
      </w:r>
      <w:r w:rsidR="00A665C5">
        <w:rPr>
          <w:spacing w:val="60"/>
        </w:rPr>
        <w:t>Skiriu</w:t>
      </w:r>
      <w:r w:rsidR="00A665C5">
        <w:t xml:space="preserve"> Aplinkos apsaugos agentūrą (toliau – AAA) kompetentinga institucija, kuriai pagal Reglamentą operatoriai turi teikti duomenis ir informaciją ir visuomenė gali teikti prašymus.</w:t>
      </w:r>
    </w:p>
    <w:p w14:paraId="1E6B41B0" w14:textId="77777777" w:rsidR="00C062DC" w:rsidRDefault="008014B4">
      <w:pPr>
        <w:widowControl w:val="0"/>
        <w:shd w:val="clear" w:color="auto" w:fill="FFFFFF"/>
        <w:ind w:firstLine="709"/>
        <w:jc w:val="both"/>
      </w:pPr>
      <w:r w:rsidR="00A665C5">
        <w:t>2</w:t>
      </w:r>
      <w:r w:rsidR="00A665C5">
        <w:t xml:space="preserve">. </w:t>
      </w:r>
      <w:r w:rsidR="00A665C5">
        <w:rPr>
          <w:spacing w:val="60"/>
        </w:rPr>
        <w:t>Nustata</w:t>
      </w:r>
      <w:r w:rsidR="00A665C5">
        <w:t>u, kad:</w:t>
      </w:r>
    </w:p>
    <w:p w14:paraId="1E6B41B1" w14:textId="77777777" w:rsidR="00C062DC" w:rsidRDefault="008014B4">
      <w:pPr>
        <w:widowControl w:val="0"/>
        <w:shd w:val="clear" w:color="auto" w:fill="FFFFFF"/>
        <w:ind w:firstLine="709"/>
        <w:jc w:val="both"/>
      </w:pPr>
      <w:r w:rsidR="00A665C5">
        <w:t>2.1</w:t>
      </w:r>
      <w:r w:rsidR="00A665C5">
        <w:t>. operatoriai, privalantys teikti duomenis ir informaciją apie objektus pagal Reglamento 5 straipsnio reikalavimus, duomenis ir informaciją AAA turi pateikti naudodami informacinę sistemą „Aplinkos informacijos valdymo integruota kompiuterinė sistema“ (toliau – IS „AIVIKS“);</w:t>
      </w:r>
    </w:p>
    <w:p w14:paraId="1E6B41B2" w14:textId="77777777" w:rsidR="00C062DC" w:rsidRDefault="008014B4">
      <w:pPr>
        <w:widowControl w:val="0"/>
        <w:shd w:val="clear" w:color="auto" w:fill="FFFFFF"/>
        <w:ind w:firstLine="709"/>
        <w:jc w:val="both"/>
      </w:pPr>
      <w:r w:rsidR="00A665C5">
        <w:t>2.2</w:t>
      </w:r>
      <w:r w:rsidR="00A665C5">
        <w:t>. operatoriai turi teikti tik tuos Reglamente nurodytus duomenis ir informaciją, kurie nėra pateikti teikiant ataskaitas pagal Teršalų išmetimo į aplinkos orą apskaitos ir ataskaitų teikimo tvarkos aprašo, patvirtinto Lietuvos Respublikos aplinkos ministro 1999 m. gruodžio 20 d. įsakymu Nr. 408 „Dėl Teršalų išmetimo į aplinkos orą apskaitos ir ataskaitų teikimo tvarkos aprašo patvirtinimo“, Vandens naudojimo ir nuotekų tvarkymo apskaitos tvarkos aprašo, patvirtinto Lietuvos Respublikos aplinkos ministro 2012 m. gruodžio 28 d. įsakymu Nr. D1-1120 „Dėl Vandens naudojimo ir nuotekų tvarkymo apskaitos tvarkos aprašo patvirtinimo“, ir Atliekų susidarymo ir tvarkymo apskaitos ir ataskaitų teikimo taisyklių, patvirtintų Lietuvos Respublikos aplinkos ministro 2011 m. gegužės 3 d. įsakymu Nr. D1-367 „Dėl Atliekų susidarymo ir tvarkymo apskaitos ir ataskaitų teikimo taisyklių patvirtinimo“, reikalavimus;</w:t>
      </w:r>
    </w:p>
    <w:p w14:paraId="1E6B41B3" w14:textId="77777777" w:rsidR="00C062DC" w:rsidRDefault="008014B4">
      <w:pPr>
        <w:widowControl w:val="0"/>
        <w:shd w:val="clear" w:color="auto" w:fill="FFFFFF"/>
        <w:ind w:firstLine="709"/>
        <w:jc w:val="both"/>
      </w:pPr>
      <w:r w:rsidR="00A665C5">
        <w:t>2.3</w:t>
      </w:r>
      <w:r w:rsidR="00A665C5">
        <w:t>. operatoriai praėjusių kalendorinių metų duomenis ir informaciją AAA turi pateikti iki einamųjų metų kovo 1 d. Pirmieji ataskaitiniai metai – 2007 m.;</w:t>
      </w:r>
    </w:p>
    <w:p w14:paraId="1E6B41B4" w14:textId="77777777" w:rsidR="00C062DC" w:rsidRDefault="008014B4">
      <w:pPr>
        <w:widowControl w:val="0"/>
        <w:shd w:val="clear" w:color="auto" w:fill="FFFFFF"/>
        <w:ind w:firstLine="709"/>
        <w:jc w:val="both"/>
      </w:pPr>
      <w:r w:rsidR="00A665C5">
        <w:t>2.4</w:t>
      </w:r>
      <w:r w:rsidR="00A665C5">
        <w:t>. operatoriai duomenis ir informaciją AAA turi pateikti vadovaudamiesi 2006 m. gegužės 31 d. Europos Komisijos gairėmis dėl Europos išleidžiamų ir perduodamų teršalų registro įgyvendinimo, pateiktomis Aplinkos apsaugos agentūros interneto svetainėje http://aaa.am.lt;</w:t>
      </w:r>
    </w:p>
    <w:p w14:paraId="1E6B41B5" w14:textId="77777777" w:rsidR="00C062DC" w:rsidRDefault="008014B4">
      <w:pPr>
        <w:widowControl w:val="0"/>
        <w:shd w:val="clear" w:color="auto" w:fill="FFFFFF"/>
        <w:ind w:firstLine="709"/>
        <w:jc w:val="both"/>
      </w:pPr>
      <w:r w:rsidR="00A665C5">
        <w:t>2.5</w:t>
      </w:r>
      <w:r w:rsidR="00A665C5">
        <w:t>. jei nėra techninių galimybių pateikti duomenis ir informaciją naudojant IS „AIVIKS“, duomenys ir informacija siunčiami elektroniniu paštu arba kitomis elektroninių ryšių priemonėmis, arba įteikiami tiesiogiai ar siunčiami paštu. Jeigu duomenys ir informacija pateikiami nenaudojant IS „AIVIKS“, AAA turi suvesti duomenis ir informaciją į IS „AIVIKS“;</w:t>
      </w:r>
    </w:p>
    <w:p w14:paraId="1E6B41B6" w14:textId="77777777" w:rsidR="00C062DC" w:rsidRDefault="008014B4">
      <w:pPr>
        <w:widowControl w:val="0"/>
        <w:shd w:val="clear" w:color="auto" w:fill="FFFFFF"/>
        <w:ind w:firstLine="709"/>
        <w:jc w:val="both"/>
      </w:pPr>
      <w:r w:rsidR="00A665C5">
        <w:t>2.6</w:t>
      </w:r>
      <w:r w:rsidR="00A665C5">
        <w:t>. AAA, vadovaudamasi Reglamento 9 straipsnio 2 dalimi, įvertina operatorių pateiktų duomenų ir informacijos kokybę;</w:t>
      </w:r>
    </w:p>
    <w:p w14:paraId="1E6B41B7" w14:textId="77777777" w:rsidR="00C062DC" w:rsidRDefault="008014B4">
      <w:pPr>
        <w:widowControl w:val="0"/>
        <w:shd w:val="clear" w:color="auto" w:fill="FFFFFF"/>
        <w:ind w:firstLine="709"/>
        <w:jc w:val="both"/>
      </w:pPr>
      <w:r w:rsidR="00A665C5">
        <w:t>2.7</w:t>
      </w:r>
      <w:r w:rsidR="00A665C5">
        <w:t>. AAA, vertindama operatorių pateiktų duomenų ir informacijos kokybę, turi teisę, naudodama IS „AIVIKS“, paštu, elektroniniu paštu ar kitomis elektroninių ryšių priemonėmis paprašyti operatorių patikslinti, pataisyti pateiktus duomenis ir informaciją ar pateikti papildomus duomenis ir informaciją;</w:t>
      </w:r>
    </w:p>
    <w:p w14:paraId="1E6B41B8" w14:textId="17294463" w:rsidR="00C062DC" w:rsidRDefault="008014B4">
      <w:pPr>
        <w:widowControl w:val="0"/>
        <w:shd w:val="clear" w:color="auto" w:fill="FFFFFF"/>
        <w:ind w:firstLine="709"/>
        <w:jc w:val="both"/>
      </w:pPr>
      <w:r w:rsidR="00A665C5">
        <w:t>2.8</w:t>
      </w:r>
      <w:r w:rsidR="00A665C5">
        <w:t xml:space="preserve">. AAA Reglamento 7 straipsnio 2 dalyje nustatyta tvarka teikia duomenis Europos Komisijai.“ </w:t>
      </w:r>
    </w:p>
    <w:p w14:paraId="1E6B41B9" w14:textId="77777777" w:rsidR="00C062DC" w:rsidRDefault="008014B4">
      <w:pPr>
        <w:widowControl w:val="0"/>
        <w:shd w:val="clear" w:color="auto" w:fill="FFFFFF"/>
        <w:ind w:firstLine="709"/>
        <w:jc w:val="both"/>
      </w:pPr>
      <w:r w:rsidR="00A665C5">
        <w:t>2</w:t>
      </w:r>
      <w:r w:rsidR="00A665C5">
        <w:t xml:space="preserve">. </w:t>
      </w:r>
      <w:r w:rsidR="00A665C5">
        <w:rPr>
          <w:spacing w:val="40"/>
        </w:rPr>
        <w:t>Nustatau</w:t>
      </w:r>
      <w:r w:rsidR="00A665C5">
        <w:t>, kad šis įsakymas įsigalioja 2014 m. liepos 1 d.</w:t>
      </w:r>
    </w:p>
    <w:p w14:paraId="1E6B41BB" w14:textId="77777777" w:rsidR="00C062DC" w:rsidRDefault="00C062DC">
      <w:pPr>
        <w:widowControl w:val="0"/>
        <w:shd w:val="clear" w:color="auto" w:fill="FFFFFF"/>
        <w:jc w:val="both"/>
      </w:pPr>
      <w:bookmarkStart w:id="0" w:name="_GoBack"/>
      <w:bookmarkEnd w:id="0"/>
    </w:p>
    <w:p w14:paraId="1E6B41BC" w14:textId="77777777" w:rsidR="00C062DC" w:rsidRDefault="00C062DC">
      <w:pPr>
        <w:widowControl w:val="0"/>
        <w:shd w:val="clear" w:color="auto" w:fill="FFFFFF"/>
        <w:jc w:val="both"/>
      </w:pPr>
    </w:p>
    <w:p w14:paraId="1E6B41BD" w14:textId="77777777" w:rsidR="00C062DC" w:rsidRDefault="008014B4">
      <w:pPr>
        <w:widowControl w:val="0"/>
        <w:shd w:val="clear" w:color="auto" w:fill="FFFFFF"/>
        <w:jc w:val="both"/>
      </w:pPr>
    </w:p>
    <w:p w14:paraId="1E6B41C1" w14:textId="0C4DA577" w:rsidR="00C062DC" w:rsidRDefault="00A665C5" w:rsidP="008014B4">
      <w:pPr>
        <w:jc w:val="both"/>
      </w:pPr>
      <w:r>
        <w:t>Aplinkos ministras</w:t>
      </w:r>
      <w:r>
        <w:tab/>
      </w:r>
      <w:r>
        <w:tab/>
      </w:r>
      <w:r>
        <w:tab/>
      </w:r>
      <w:r>
        <w:tab/>
        <w:t>Valentinas Mazuronis</w:t>
      </w:r>
    </w:p>
    <w:sectPr w:rsidR="00C062DC">
      <w:headerReference w:type="even"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B41CA" w14:textId="77777777" w:rsidR="00C062DC" w:rsidRDefault="00A665C5">
      <w:pPr>
        <w:rPr>
          <w:sz w:val="22"/>
          <w:szCs w:val="22"/>
        </w:rPr>
      </w:pPr>
      <w:r>
        <w:rPr>
          <w:sz w:val="22"/>
          <w:szCs w:val="22"/>
        </w:rPr>
        <w:separator/>
      </w:r>
    </w:p>
  </w:endnote>
  <w:endnote w:type="continuationSeparator" w:id="0">
    <w:p w14:paraId="1E6B41CB" w14:textId="77777777" w:rsidR="00C062DC" w:rsidRDefault="00A665C5">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B41C8" w14:textId="77777777" w:rsidR="00C062DC" w:rsidRDefault="00A665C5">
      <w:pPr>
        <w:rPr>
          <w:sz w:val="22"/>
          <w:szCs w:val="22"/>
        </w:rPr>
      </w:pPr>
      <w:r>
        <w:rPr>
          <w:sz w:val="22"/>
          <w:szCs w:val="22"/>
        </w:rPr>
        <w:separator/>
      </w:r>
    </w:p>
  </w:footnote>
  <w:footnote w:type="continuationSeparator" w:id="0">
    <w:p w14:paraId="1E6B41C9" w14:textId="77777777" w:rsidR="00C062DC" w:rsidRDefault="00A665C5">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B41CC" w14:textId="77777777" w:rsidR="00C062DC" w:rsidRDefault="00C062DC">
    <w:pPr>
      <w:framePr w:wrap="auto" w:vAnchor="text" w:hAnchor="margin" w:xAlign="center" w:y="1"/>
      <w:tabs>
        <w:tab w:val="center" w:pos="4819"/>
        <w:tab w:val="right" w:pos="9638"/>
      </w:tabs>
      <w:rPr>
        <w:sz w:val="22"/>
        <w:szCs w:val="22"/>
      </w:rPr>
    </w:pPr>
  </w:p>
  <w:p w14:paraId="1E6B41CD" w14:textId="77777777" w:rsidR="00C062DC" w:rsidRDefault="00C062DC">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6C"/>
    <w:rsid w:val="006C416C"/>
    <w:rsid w:val="008014B4"/>
    <w:rsid w:val="00A665C5"/>
    <w:rsid w:val="00C062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665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665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wmf"/>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2767</Words>
  <Characters>1578</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4337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2014-05-16T12:08:00Z</dcterms:created>
  <dc:creator>ŠYVOKIENĖ Lina</dc:creator>
  <lastModifiedBy>JUOSPONIENĖ Karolina</lastModifiedBy>
  <dcterms:modified xsi:type="dcterms:W3CDTF">2016-03-15T09:16:00Z</dcterms:modified>
  <revision>4</revision>
</coreProperties>
</file>