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9da0dfc31718480a8bef1348ae8af5e8"/>
        <w:id w:val="-1688048812"/>
        <w:lock w:val="sdtLocked"/>
      </w:sdtPr>
      <w:sdtEndPr/>
      <w:sdtContent>
        <w:p w14:paraId="1AEC5340" w14:textId="77777777" w:rsidR="00414E5E" w:rsidRDefault="00414E5E">
          <w:pPr>
            <w:widowControl w:val="0"/>
            <w:tabs>
              <w:tab w:val="center" w:pos="4819"/>
              <w:tab w:val="right" w:pos="9638"/>
            </w:tabs>
            <w:suppressAutoHyphens/>
            <w:rPr>
              <w:rFonts w:ascii="Thorndale" w:eastAsia="Andale Sans UI" w:hAnsi="Thorndale" w:cs="Tahoma"/>
              <w:szCs w:val="24"/>
              <w:lang w:bidi="en-US"/>
            </w:rPr>
          </w:pPr>
        </w:p>
        <w:p w14:paraId="1AEC5341" w14:textId="77777777" w:rsidR="00414E5E" w:rsidRDefault="00931912">
          <w:pPr>
            <w:widowControl w:val="0"/>
            <w:suppressAutoHyphens/>
            <w:jc w:val="center"/>
            <w:rPr>
              <w:rFonts w:eastAsia="Andale Sans UI" w:cs="Tahoma"/>
              <w:b/>
              <w:bCs/>
              <w:szCs w:val="24"/>
              <w:lang w:bidi="en-US"/>
            </w:rPr>
          </w:pPr>
          <w:r>
            <w:rPr>
              <w:rFonts w:eastAsia="Andale Sans UI" w:cs="Tahoma"/>
              <w:noProof/>
              <w:szCs w:val="24"/>
              <w:lang w:eastAsia="lt-LT"/>
            </w:rPr>
            <w:drawing>
              <wp:inline distT="0" distB="0" distL="0" distR="0" wp14:anchorId="1AEC535F" wp14:editId="1AEC5360">
                <wp:extent cx="523875" cy="609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3875" cy="609600"/>
                        </a:xfrm>
                        <a:prstGeom prst="rect">
                          <a:avLst/>
                        </a:prstGeom>
                        <a:solidFill>
                          <a:srgbClr val="FFFFFF">
                            <a:alpha val="0"/>
                          </a:srgbClr>
                        </a:solidFill>
                        <a:ln w="9525">
                          <a:noFill/>
                          <a:miter lim="800000"/>
                          <a:headEnd/>
                          <a:tailEnd/>
                        </a:ln>
                      </pic:spPr>
                    </pic:pic>
                  </a:graphicData>
                </a:graphic>
              </wp:inline>
            </w:drawing>
          </w:r>
        </w:p>
        <w:p w14:paraId="1AEC5342" w14:textId="77777777" w:rsidR="00414E5E" w:rsidRDefault="00414E5E">
          <w:pPr>
            <w:rPr>
              <w:sz w:val="14"/>
              <w:szCs w:val="14"/>
            </w:rPr>
          </w:pPr>
        </w:p>
        <w:p w14:paraId="1AEC5343" w14:textId="77777777" w:rsidR="00414E5E" w:rsidRDefault="00931912">
          <w:pPr>
            <w:widowControl w:val="0"/>
            <w:suppressAutoHyphens/>
            <w:jc w:val="center"/>
            <w:rPr>
              <w:rFonts w:eastAsia="Andale Sans UI" w:cs="Tahoma"/>
              <w:b/>
              <w:bCs/>
              <w:szCs w:val="24"/>
              <w:lang w:bidi="en-US"/>
            </w:rPr>
          </w:pPr>
          <w:r>
            <w:rPr>
              <w:rFonts w:eastAsia="Andale Sans UI" w:cs="Tahoma"/>
              <w:b/>
              <w:bCs/>
              <w:szCs w:val="24"/>
              <w:lang w:bidi="en-US"/>
            </w:rPr>
            <w:t>LIETUVOS RESPUBLIKOS APLINKOS MINISTRAS</w:t>
          </w:r>
          <w:r>
            <w:rPr>
              <w:rFonts w:eastAsia="Andale Sans UI" w:cs="Tahoma"/>
              <w:b/>
              <w:bCs/>
              <w:szCs w:val="24"/>
              <w:lang w:bidi="en-US"/>
            </w:rPr>
            <w:br/>
          </w:r>
        </w:p>
        <w:p w14:paraId="1AEC5344" w14:textId="77777777" w:rsidR="00414E5E" w:rsidRDefault="00931912">
          <w:pPr>
            <w:widowControl w:val="0"/>
            <w:suppressAutoHyphens/>
            <w:jc w:val="center"/>
            <w:rPr>
              <w:rFonts w:eastAsia="Andale Sans UI"/>
              <w:szCs w:val="24"/>
              <w:lang w:bidi="en-US"/>
            </w:rPr>
          </w:pPr>
          <w:r>
            <w:rPr>
              <w:rFonts w:eastAsia="Andale Sans UI"/>
              <w:b/>
              <w:bCs/>
              <w:szCs w:val="24"/>
              <w:lang w:bidi="en-US"/>
            </w:rPr>
            <w:t>ĮSAKYMAS</w:t>
          </w:r>
        </w:p>
        <w:p w14:paraId="1AEC5345" w14:textId="77777777" w:rsidR="00414E5E" w:rsidRDefault="00931912">
          <w:pPr>
            <w:widowControl w:val="0"/>
            <w:suppressAutoHyphens/>
            <w:jc w:val="center"/>
            <w:rPr>
              <w:rFonts w:eastAsia="Andale Sans UI"/>
              <w:b/>
              <w:szCs w:val="24"/>
              <w:lang w:bidi="en-US"/>
            </w:rPr>
          </w:pPr>
          <w:r>
            <w:rPr>
              <w:b/>
              <w:bCs/>
              <w:caps/>
              <w:color w:val="000000"/>
              <w:szCs w:val="24"/>
              <w:lang w:bidi="en-US"/>
            </w:rPr>
            <w:t xml:space="preserve">DĖL </w:t>
          </w:r>
          <w:r>
            <w:rPr>
              <w:rFonts w:eastAsia="Andale Sans UI"/>
              <w:b/>
              <w:szCs w:val="24"/>
              <w:lang w:bidi="en-US"/>
            </w:rPr>
            <w:t>EUROPOS SĄJUNGOS</w:t>
          </w:r>
          <w:r>
            <w:rPr>
              <w:b/>
              <w:szCs w:val="24"/>
              <w:lang w:eastAsia="lt-LT"/>
            </w:rPr>
            <w:t xml:space="preserve"> </w:t>
          </w:r>
          <w:r>
            <w:rPr>
              <w:b/>
              <w:bCs/>
              <w:szCs w:val="24"/>
              <w:lang w:eastAsia="lt-LT" w:bidi="en-US"/>
            </w:rPr>
            <w:t xml:space="preserve">APLINKOS IR KLIMATO POLITIKOS PROGRAMOS (LIFE) LĖŠOMIS </w:t>
          </w:r>
          <w:r>
            <w:rPr>
              <w:rFonts w:eastAsia="Andale Sans UI"/>
              <w:b/>
              <w:szCs w:val="24"/>
              <w:lang w:bidi="en-US"/>
            </w:rPr>
            <w:t xml:space="preserve">FINANSUOJAMŲ PROJEKTŲ, KURIEMS APLINKOS MINISTERIJA NUMATO SKIRTI LIETUVOS RESPUBLIKOS VALSTYBĖS BIUDŽETO PROGRAMOS </w:t>
          </w:r>
          <w:r>
            <w:rPr>
              <w:rFonts w:eastAsia="Andale Sans UI"/>
              <w:b/>
              <w:szCs w:val="24"/>
              <w:lang w:bidi="en-US"/>
            </w:rPr>
            <w:t>„BIOLOGINĖS ĮVAIROVĖS APSAUGA, KRAŠTOVAIZDŽIO TVARKYMAS IR IŠSAUGOJIMAS“ PRIEMONĖS, SKIRTOS EUROPOS SĄJUNGOS APLINKOS IR KLIMATO POLITIKOS PROGRAMAI (LIFE) ĮGYVENDINTI, BENDROJO FINANSAVIMO LĖŠŲ (2014 M. KVIETIMAS), GALUTINIO SĄRAŠO</w:t>
          </w:r>
        </w:p>
        <w:p w14:paraId="1AEC5346" w14:textId="77777777" w:rsidR="00414E5E" w:rsidRDefault="00931912">
          <w:pPr>
            <w:widowControl w:val="0"/>
            <w:suppressAutoHyphens/>
            <w:jc w:val="center"/>
            <w:rPr>
              <w:rFonts w:eastAsia="Andale Sans UI"/>
              <w:b/>
              <w:caps/>
              <w:szCs w:val="24"/>
              <w:lang w:bidi="en-US"/>
            </w:rPr>
          </w:pPr>
          <w:r>
            <w:rPr>
              <w:rFonts w:eastAsia="Andale Sans UI"/>
              <w:b/>
              <w:bCs/>
              <w:szCs w:val="24"/>
              <w:lang w:bidi="en-US"/>
            </w:rPr>
            <w:t>PATVIRTINIMO</w:t>
          </w:r>
        </w:p>
        <w:p w14:paraId="1AEC5347" w14:textId="77777777" w:rsidR="00414E5E" w:rsidRDefault="00414E5E">
          <w:pPr>
            <w:widowControl w:val="0"/>
            <w:suppressAutoHyphens/>
            <w:jc w:val="center"/>
            <w:rPr>
              <w:rFonts w:eastAsia="Andale Sans UI" w:cs="Tahoma"/>
              <w:szCs w:val="24"/>
              <w:lang w:bidi="en-US"/>
            </w:rPr>
          </w:pPr>
        </w:p>
        <w:p w14:paraId="1AEC5348" w14:textId="77777777" w:rsidR="00414E5E" w:rsidRDefault="00931912">
          <w:pPr>
            <w:widowControl w:val="0"/>
            <w:suppressAutoHyphens/>
            <w:jc w:val="center"/>
            <w:rPr>
              <w:rFonts w:eastAsia="Andale Sans UI" w:cs="Tahoma"/>
              <w:szCs w:val="24"/>
              <w:lang w:bidi="en-US"/>
            </w:rPr>
          </w:pPr>
          <w:r>
            <w:rPr>
              <w:rFonts w:eastAsia="Andale Sans UI" w:cs="Tahoma"/>
              <w:szCs w:val="24"/>
              <w:lang w:bidi="en-US"/>
            </w:rPr>
            <w:t>2016 m. s</w:t>
          </w:r>
          <w:r>
            <w:rPr>
              <w:rFonts w:eastAsia="Andale Sans UI" w:cs="Tahoma"/>
              <w:szCs w:val="24"/>
              <w:lang w:bidi="en-US"/>
            </w:rPr>
            <w:t>ausio 29 d. Nr. D1-62</w:t>
          </w:r>
          <w:r>
            <w:rPr>
              <w:rFonts w:eastAsia="Andale Sans UI" w:cs="Tahoma"/>
              <w:sz w:val="8"/>
              <w:szCs w:val="8"/>
              <w:lang w:bidi="en-US"/>
            </w:rPr>
            <w:t>.</w:t>
          </w:r>
        </w:p>
        <w:p w14:paraId="1AEC5349" w14:textId="77777777" w:rsidR="00414E5E" w:rsidRDefault="00931912">
          <w:pPr>
            <w:widowControl w:val="0"/>
            <w:suppressAutoHyphens/>
            <w:jc w:val="center"/>
            <w:rPr>
              <w:rFonts w:eastAsia="Andale Sans UI"/>
              <w:szCs w:val="24"/>
              <w:lang w:bidi="en-US"/>
            </w:rPr>
          </w:pPr>
          <w:r>
            <w:rPr>
              <w:rFonts w:eastAsia="Andale Sans UI" w:cs="Tahoma"/>
              <w:szCs w:val="24"/>
              <w:lang w:bidi="en-US"/>
            </w:rPr>
            <w:t>Vilnius</w:t>
          </w:r>
          <w:r>
            <w:rPr>
              <w:rFonts w:eastAsia="Andale Sans UI" w:cs="Tahoma"/>
              <w:szCs w:val="24"/>
              <w:lang w:bidi="en-US"/>
            </w:rPr>
            <w:br/>
          </w:r>
        </w:p>
        <w:sdt>
          <w:sdtPr>
            <w:alias w:val="preambule"/>
            <w:tag w:val="part_969b5c1940d64315bda821a306c279a9"/>
            <w:id w:val="119583126"/>
            <w:lock w:val="sdtLocked"/>
          </w:sdtPr>
          <w:sdtEndPr/>
          <w:sdtContent>
            <w:p w14:paraId="1AEC534A" w14:textId="77777777" w:rsidR="00414E5E" w:rsidRDefault="00931912">
              <w:pPr>
                <w:widowControl w:val="0"/>
                <w:suppressAutoHyphens/>
                <w:ind w:firstLine="549"/>
                <w:jc w:val="both"/>
                <w:rPr>
                  <w:rFonts w:eastAsia="Andale Sans UI"/>
                  <w:szCs w:val="24"/>
                  <w:lang w:bidi="en-US"/>
                </w:rPr>
              </w:pPr>
              <w:r>
                <w:rPr>
                  <w:rFonts w:eastAsia="Andale Sans UI"/>
                  <w:szCs w:val="24"/>
                  <w:lang w:bidi="en-US"/>
                </w:rPr>
                <w:t xml:space="preserve">Atsižvelgdamas į Europos Sąjungos aplinkos ir klimato politikos programos (LIFE) bendrojo finansavimo lėšų skyrimo Europos Sąjungos aplinkos ir klimato politikos programos (LIFE) projektams ir paraiškų projektams finansuoti </w:t>
              </w:r>
              <w:r>
                <w:rPr>
                  <w:rFonts w:eastAsia="Andale Sans UI"/>
                  <w:szCs w:val="24"/>
                  <w:lang w:bidi="en-US"/>
                </w:rPr>
                <w:t>Europos Sąjungos aplinkos ir klimato politikos programos (LIFE) lėšomis teikimo Europos Komisijai tvarkos aprašo, patvirtinto Lietuvos Respublikos aplinkos ministro 2014 m. birželio 18 d. įsakymu Nr. D1-542 „Dėl Europos Sąjungos aplinkos ir klimato politik</w:t>
              </w:r>
              <w:r>
                <w:rPr>
                  <w:rFonts w:eastAsia="Andale Sans UI"/>
                  <w:szCs w:val="24"/>
                  <w:lang w:bidi="en-US"/>
                </w:rPr>
                <w:t>os programos (LIFE) bendrojo finansavimo lėšų skyrimo Europos Sąjungos aplinkos ir klimato politikos programos (LIFE) projektams ir paraiškų projektams finansuoti Europos Sąjungos aplinkos ir klimato politikos programos (LIFE) lėšomis teikimo Europos Komis</w:t>
              </w:r>
              <w:r>
                <w:rPr>
                  <w:rFonts w:eastAsia="Andale Sans UI"/>
                  <w:szCs w:val="24"/>
                  <w:lang w:bidi="en-US"/>
                </w:rPr>
                <w:t>ijai tvarkos aprašo patvirtinimo“,</w:t>
              </w:r>
              <w:r>
                <w:rPr>
                  <w:color w:val="000000"/>
                  <w:szCs w:val="24"/>
                  <w:lang w:bidi="en-US"/>
                </w:rPr>
                <w:t xml:space="preserve"> 37.2 pa</w:t>
              </w:r>
              <w:r>
                <w:rPr>
                  <w:rFonts w:eastAsia="Andale Sans UI"/>
                  <w:szCs w:val="24"/>
                  <w:lang w:bidi="en-US"/>
                </w:rPr>
                <w:t xml:space="preserve">punkčio reikalavimus ir į Baltijos aplinkos forumo 2015 m. gruodžio 17 d. raštu Nr.BEF4-1362 pateiktą prašymą:  </w:t>
              </w:r>
            </w:p>
          </w:sdtContent>
        </w:sdt>
        <w:sdt>
          <w:sdtPr>
            <w:alias w:val="1 p."/>
            <w:tag w:val="part_be4e8cb0da0a47acb5a83175ec334593"/>
            <w:id w:val="-930270312"/>
            <w:lock w:val="sdtLocked"/>
          </w:sdtPr>
          <w:sdtEndPr/>
          <w:sdtContent>
            <w:p w14:paraId="1AEC534B" w14:textId="77777777" w:rsidR="00414E5E" w:rsidRDefault="00931912">
              <w:pPr>
                <w:widowControl w:val="0"/>
                <w:tabs>
                  <w:tab w:val="left" w:pos="909"/>
                </w:tabs>
                <w:suppressAutoHyphens/>
                <w:ind w:firstLine="549"/>
                <w:jc w:val="both"/>
                <w:rPr>
                  <w:rFonts w:eastAsia="Andale Sans UI"/>
                  <w:szCs w:val="24"/>
                  <w:lang w:bidi="en-US"/>
                </w:rPr>
              </w:pPr>
              <w:sdt>
                <w:sdtPr>
                  <w:alias w:val="Numeris"/>
                  <w:tag w:val="nr_be4e8cb0da0a47acb5a83175ec334593"/>
                  <w:id w:val="704532790"/>
                  <w:lock w:val="sdtLocked"/>
                </w:sdtPr>
                <w:sdtEndPr/>
                <w:sdtContent>
                  <w:r>
                    <w:rPr>
                      <w:rFonts w:eastAsia="Andale Sans UI"/>
                      <w:szCs w:val="24"/>
                      <w:lang w:bidi="en-US"/>
                    </w:rPr>
                    <w:t>1</w:t>
                  </w:r>
                </w:sdtContent>
              </w:sdt>
              <w:r>
                <w:rPr>
                  <w:rFonts w:eastAsia="Andale Sans UI"/>
                  <w:szCs w:val="24"/>
                  <w:lang w:bidi="en-US"/>
                </w:rPr>
                <w:t>.</w:t>
              </w:r>
              <w:r>
                <w:rPr>
                  <w:rFonts w:eastAsia="Andale Sans UI"/>
                  <w:szCs w:val="24"/>
                  <w:lang w:bidi="en-US"/>
                </w:rPr>
                <w:tab/>
              </w:r>
              <w:r>
                <w:rPr>
                  <w:rFonts w:eastAsia="Andale Sans UI"/>
                  <w:spacing w:val="40"/>
                  <w:szCs w:val="24"/>
                  <w:lang w:bidi="en-US"/>
                </w:rPr>
                <w:t>Tvirtinu</w:t>
              </w:r>
              <w:r>
                <w:rPr>
                  <w:rFonts w:eastAsia="Andale Sans UI"/>
                  <w:szCs w:val="24"/>
                  <w:lang w:bidi="en-US"/>
                </w:rPr>
                <w:t xml:space="preserve"> 2014 m. kvietimo Europos Sąjungos</w:t>
              </w:r>
              <w:r>
                <w:rPr>
                  <w:szCs w:val="24"/>
                  <w:lang w:eastAsia="lt-LT"/>
                </w:rPr>
                <w:t xml:space="preserve"> </w:t>
              </w:r>
              <w:r>
                <w:rPr>
                  <w:rFonts w:eastAsia="Andale Sans UI"/>
                  <w:szCs w:val="24"/>
                  <w:lang w:bidi="en-US"/>
                </w:rPr>
                <w:t xml:space="preserve">aplinkos ir klimato politikos programos (LIFE) </w:t>
              </w:r>
              <w:r>
                <w:rPr>
                  <w:rFonts w:eastAsia="Andale Sans UI"/>
                  <w:szCs w:val="24"/>
                  <w:lang w:bidi="en-US"/>
                </w:rPr>
                <w:t>lėšomis finansuojamų projektų (toliau – LIFE projektai), kuriems Aplinkos ministerija numato skirti Lietuvos Respublikos valstybės biudžeto programos „Biologinės įvairovės apsauga, kraštovaizdžio tvarkymas ir išsaugojimas“ priemonės, skirtos Europos Sąjung</w:t>
              </w:r>
              <w:r>
                <w:rPr>
                  <w:rFonts w:eastAsia="Andale Sans UI"/>
                  <w:szCs w:val="24"/>
                  <w:lang w:bidi="en-US"/>
                </w:rPr>
                <w:t>os aplinkos ir klimato politikos programai (LIFE) įgyvendinti, bendrojo finansavimo lėšų (toliau – Bendrojo finansavimo lėšos), galutinį sąrašą (pridedama).</w:t>
              </w:r>
            </w:p>
          </w:sdtContent>
        </w:sdt>
        <w:sdt>
          <w:sdtPr>
            <w:alias w:val="2 p."/>
            <w:tag w:val="part_93b29d419fe34929be389e3fbaa722ca"/>
            <w:id w:val="1386064412"/>
            <w:lock w:val="sdtLocked"/>
            <w:placeholder>
              <w:docPart w:val="DefaultPlaceholder_1082065158"/>
            </w:placeholder>
          </w:sdtPr>
          <w:sdtEndPr>
            <w:rPr>
              <w:rFonts w:eastAsia="Andale Sans UI"/>
              <w:szCs w:val="24"/>
              <w:lang w:bidi="en-US"/>
            </w:rPr>
          </w:sdtEndPr>
          <w:sdtContent>
            <w:p w14:paraId="1AEC534E" w14:textId="18E1CBAA" w:rsidR="00414E5E" w:rsidRDefault="00931912" w:rsidP="00931912">
              <w:pPr>
                <w:widowControl w:val="0"/>
                <w:tabs>
                  <w:tab w:val="left" w:pos="909"/>
                </w:tabs>
                <w:suppressAutoHyphens/>
                <w:ind w:firstLine="549"/>
                <w:jc w:val="both"/>
                <w:rPr>
                  <w:rFonts w:eastAsia="Andale Sans UI" w:cs="Tahoma"/>
                  <w:szCs w:val="24"/>
                  <w:lang w:bidi="en-US"/>
                </w:rPr>
              </w:pPr>
              <w:sdt>
                <w:sdtPr>
                  <w:alias w:val="Numeris"/>
                  <w:tag w:val="nr_93b29d419fe34929be389e3fbaa722ca"/>
                  <w:id w:val="-1351256156"/>
                  <w:lock w:val="sdtLocked"/>
                </w:sdtPr>
                <w:sdtEndPr/>
                <w:sdtContent>
                  <w:r>
                    <w:rPr>
                      <w:rFonts w:eastAsia="Andale Sans UI"/>
                      <w:szCs w:val="24"/>
                      <w:lang w:bidi="en-US"/>
                    </w:rPr>
                    <w:t>2</w:t>
                  </w:r>
                </w:sdtContent>
              </w:sdt>
              <w:r>
                <w:rPr>
                  <w:rFonts w:eastAsia="Andale Sans UI"/>
                  <w:szCs w:val="24"/>
                  <w:lang w:bidi="en-US"/>
                </w:rPr>
                <w:t>.</w:t>
              </w:r>
              <w:r>
                <w:rPr>
                  <w:rFonts w:eastAsia="Andale Sans UI"/>
                  <w:szCs w:val="24"/>
                  <w:lang w:bidi="en-US"/>
                </w:rPr>
                <w:tab/>
              </w:r>
              <w:r>
                <w:rPr>
                  <w:rFonts w:eastAsia="Andale Sans UI"/>
                  <w:spacing w:val="40"/>
                  <w:szCs w:val="24"/>
                  <w:lang w:bidi="en-US"/>
                </w:rPr>
                <w:t xml:space="preserve">Pavedu </w:t>
              </w:r>
              <w:r>
                <w:rPr>
                  <w:rFonts w:eastAsia="Andale Sans UI"/>
                  <w:szCs w:val="24"/>
                  <w:lang w:bidi="en-US"/>
                </w:rPr>
                <w:t>Aplinkos ministerijos Aplinkos projektų valdymo agentūrai sudaryti 2014 m. LIFE proje</w:t>
              </w:r>
              <w:r>
                <w:rPr>
                  <w:rFonts w:eastAsia="Andale Sans UI"/>
                  <w:szCs w:val="24"/>
                  <w:lang w:bidi="en-US"/>
                </w:rPr>
                <w:t xml:space="preserve">ktų bendrojo finansavimo sutartis su pareiškėjais. </w:t>
              </w:r>
            </w:p>
          </w:sdtContent>
        </w:sdt>
        <w:sdt>
          <w:sdtPr>
            <w:rPr>
              <w:rFonts w:eastAsia="Andale Sans UI" w:cs="Tahoma"/>
              <w:szCs w:val="24"/>
              <w:lang w:bidi="en-US"/>
            </w:rPr>
            <w:alias w:val="signatura"/>
            <w:tag w:val="part_2bd5224e7a7548f3a4779dd351a7f19a"/>
            <w:id w:val="-1701010009"/>
            <w:lock w:val="sdtLocked"/>
            <w:placeholder>
              <w:docPart w:val="DefaultPlaceholder_1082065158"/>
            </w:placeholder>
          </w:sdtPr>
          <w:sdtContent>
            <w:p w14:paraId="33CDAB8F" w14:textId="77777777" w:rsidR="00931912" w:rsidRDefault="00931912">
              <w:pPr>
                <w:widowControl w:val="0"/>
                <w:tabs>
                  <w:tab w:val="left" w:pos="4825"/>
                </w:tabs>
                <w:suppressAutoHyphens/>
                <w:snapToGrid w:val="0"/>
                <w:ind w:left="8"/>
                <w:rPr>
                  <w:rFonts w:eastAsia="Andale Sans UI" w:cs="Tahoma"/>
                  <w:szCs w:val="24"/>
                  <w:lang w:bidi="en-US"/>
                </w:rPr>
              </w:pPr>
            </w:p>
            <w:p w14:paraId="25DD6551" w14:textId="77777777" w:rsidR="00931912" w:rsidRDefault="00931912">
              <w:pPr>
                <w:widowControl w:val="0"/>
                <w:tabs>
                  <w:tab w:val="left" w:pos="4825"/>
                </w:tabs>
                <w:suppressAutoHyphens/>
                <w:snapToGrid w:val="0"/>
                <w:ind w:left="8"/>
                <w:rPr>
                  <w:rFonts w:eastAsia="Andale Sans UI" w:cs="Tahoma"/>
                  <w:szCs w:val="24"/>
                  <w:lang w:bidi="en-US"/>
                </w:rPr>
              </w:pPr>
            </w:p>
            <w:p w14:paraId="39848FB2" w14:textId="77777777" w:rsidR="00931912" w:rsidRDefault="00931912">
              <w:pPr>
                <w:widowControl w:val="0"/>
                <w:tabs>
                  <w:tab w:val="left" w:pos="4825"/>
                </w:tabs>
                <w:suppressAutoHyphens/>
                <w:snapToGrid w:val="0"/>
                <w:ind w:left="8"/>
                <w:rPr>
                  <w:rFonts w:eastAsia="Andale Sans UI" w:cs="Tahoma"/>
                  <w:szCs w:val="24"/>
                  <w:lang w:bidi="en-US"/>
                </w:rPr>
              </w:pPr>
            </w:p>
            <w:p w14:paraId="463DC067" w14:textId="383444D8" w:rsidR="00931912" w:rsidRDefault="00931912">
              <w:pPr>
                <w:widowControl w:val="0"/>
                <w:tabs>
                  <w:tab w:val="left" w:pos="4825"/>
                </w:tabs>
                <w:suppressAutoHyphens/>
                <w:snapToGrid w:val="0"/>
                <w:ind w:left="8"/>
                <w:rPr>
                  <w:rFonts w:eastAsia="Andale Sans UI" w:cs="Tahoma"/>
                  <w:szCs w:val="24"/>
                  <w:lang w:bidi="en-US"/>
                </w:rPr>
              </w:pPr>
              <w:r>
                <w:rPr>
                  <w:rFonts w:eastAsia="Andale Sans UI" w:cs="Tahoma"/>
                  <w:szCs w:val="24"/>
                  <w:lang w:bidi="en-US"/>
                </w:rPr>
                <w:t>Aplinkos ministras</w:t>
              </w:r>
              <w:r>
                <w:rPr>
                  <w:rFonts w:eastAsia="Andale Sans UI" w:cs="Tahoma"/>
                  <w:szCs w:val="24"/>
                  <w:lang w:bidi="en-US"/>
                </w:rPr>
                <w:tab/>
              </w:r>
              <w:r>
                <w:rPr>
                  <w:rFonts w:eastAsia="Andale Sans UI" w:cs="Tahoma"/>
                  <w:szCs w:val="24"/>
                  <w:lang w:bidi="en-US"/>
                </w:rPr>
                <w:tab/>
              </w:r>
              <w:r>
                <w:rPr>
                  <w:rFonts w:eastAsia="Andale Sans UI" w:cs="Tahoma"/>
                  <w:szCs w:val="24"/>
                  <w:lang w:bidi="en-US"/>
                </w:rPr>
                <w:tab/>
              </w:r>
              <w:r>
                <w:rPr>
                  <w:rFonts w:eastAsia="Andale Sans UI" w:cs="Tahoma"/>
                  <w:szCs w:val="24"/>
                  <w:lang w:bidi="en-US"/>
                </w:rPr>
                <w:tab/>
              </w:r>
              <w:r>
                <w:rPr>
                  <w:rFonts w:eastAsia="Andale Sans UI" w:cs="Tahoma"/>
                  <w:szCs w:val="24"/>
                  <w:lang w:bidi="en-US"/>
                </w:rPr>
                <w:tab/>
              </w:r>
              <w:r>
                <w:rPr>
                  <w:rFonts w:eastAsia="Andale Sans UI" w:cs="Tahoma"/>
                  <w:szCs w:val="24"/>
                  <w:lang w:bidi="en-US"/>
                </w:rPr>
                <w:tab/>
              </w:r>
              <w:bookmarkStart w:id="0" w:name="_GoBack"/>
              <w:bookmarkEnd w:id="0"/>
              <w:r>
                <w:rPr>
                  <w:rFonts w:eastAsia="Andale Sans UI" w:cs="Tahoma"/>
                  <w:szCs w:val="24"/>
                  <w:lang w:bidi="en-US"/>
                </w:rPr>
                <w:t>Kęstutis Trečiokas</w:t>
              </w:r>
            </w:p>
            <w:p w14:paraId="1AEC535E" w14:textId="7253C29F" w:rsidR="00414E5E" w:rsidRDefault="00931912">
              <w:pPr>
                <w:widowControl w:val="0"/>
                <w:suppressAutoHyphens/>
                <w:rPr>
                  <w:rFonts w:eastAsia="Andale Sans UI" w:cs="Tahoma"/>
                  <w:szCs w:val="24"/>
                  <w:lang w:bidi="en-US"/>
                </w:rPr>
              </w:pPr>
            </w:p>
          </w:sdtContent>
        </w:sdt>
      </w:sdtContent>
    </w:sdt>
    <w:sectPr w:rsidR="00414E5E">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code="9"/>
      <w:pgMar w:top="1134" w:right="567" w:bottom="993"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C5363" w14:textId="77777777" w:rsidR="00414E5E" w:rsidRDefault="00931912">
      <w:pPr>
        <w:widowControl w:val="0"/>
        <w:suppressAutoHyphens/>
        <w:rPr>
          <w:rFonts w:ascii="Thorndale" w:eastAsia="Andale Sans UI" w:hAnsi="Thorndale" w:cs="Tahoma"/>
          <w:szCs w:val="24"/>
          <w:lang w:bidi="en-US"/>
        </w:rPr>
      </w:pPr>
      <w:r>
        <w:rPr>
          <w:rFonts w:ascii="Thorndale" w:eastAsia="Andale Sans UI" w:hAnsi="Thorndale" w:cs="Tahoma"/>
          <w:szCs w:val="24"/>
          <w:lang w:bidi="en-US"/>
        </w:rPr>
        <w:separator/>
      </w:r>
    </w:p>
  </w:endnote>
  <w:endnote w:type="continuationSeparator" w:id="0">
    <w:p w14:paraId="1AEC5364" w14:textId="77777777" w:rsidR="00414E5E" w:rsidRDefault="00931912">
      <w:pPr>
        <w:widowControl w:val="0"/>
        <w:suppressAutoHyphens/>
        <w:rPr>
          <w:rFonts w:ascii="Thorndale" w:eastAsia="Andale Sans UI" w:hAnsi="Thorndale" w:cs="Tahoma"/>
          <w:szCs w:val="24"/>
          <w:lang w:bidi="en-US"/>
        </w:rPr>
      </w:pPr>
      <w:r>
        <w:rPr>
          <w:rFonts w:ascii="Thorndale" w:eastAsia="Andale Sans UI" w:hAnsi="Thorndale" w:cs="Tahoma"/>
          <w:szCs w:val="24"/>
          <w:lang w:bidi="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
    <w:altName w:val="Times New Roman"/>
    <w:charset w:val="00"/>
    <w:family w:val="roman"/>
    <w:pitch w:val="variable"/>
  </w:font>
  <w:font w:name="Andale Sans UI">
    <w:altName w:val="Arial Unicode MS"/>
    <w:charset w:val="BA"/>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C5367" w14:textId="77777777" w:rsidR="00414E5E" w:rsidRDefault="00414E5E">
    <w:pPr>
      <w:widowControl w:val="0"/>
      <w:tabs>
        <w:tab w:val="center" w:pos="4819"/>
        <w:tab w:val="right" w:pos="9638"/>
      </w:tabs>
      <w:suppressAutoHyphens/>
      <w:rPr>
        <w:rFonts w:ascii="Thorndale" w:eastAsia="Andale Sans UI" w:hAnsi="Thorndale" w:cs="Tahoma"/>
        <w:szCs w:val="24"/>
        <w:lang w:bidi="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C5368" w14:textId="77777777" w:rsidR="00414E5E" w:rsidRDefault="00931912">
    <w:pPr>
      <w:widowControl w:val="0"/>
      <w:tabs>
        <w:tab w:val="center" w:pos="4819"/>
        <w:tab w:val="right" w:pos="9638"/>
      </w:tabs>
      <w:suppressAutoHyphens/>
      <w:jc w:val="center"/>
      <w:rPr>
        <w:rFonts w:ascii="Thorndale" w:eastAsia="Andale Sans UI" w:hAnsi="Thorndale" w:cs="Tahoma"/>
        <w:szCs w:val="24"/>
        <w:lang w:bidi="en-US"/>
      </w:rPr>
    </w:pPr>
    <w:r>
      <w:rPr>
        <w:rFonts w:ascii="Thorndale" w:eastAsia="Andale Sans UI" w:hAnsi="Thorndale" w:cs="Tahoma"/>
        <w:szCs w:val="24"/>
        <w:lang w:bidi="en-US"/>
      </w:rPr>
      <w:fldChar w:fldCharType="begin"/>
    </w:r>
    <w:r>
      <w:rPr>
        <w:rFonts w:ascii="Thorndale" w:eastAsia="Andale Sans UI" w:hAnsi="Thorndale" w:cs="Tahoma"/>
        <w:szCs w:val="24"/>
        <w:lang w:bidi="en-US"/>
      </w:rPr>
      <w:instrText xml:space="preserve"> PAGE   \* MERGEFORMAT </w:instrText>
    </w:r>
    <w:r>
      <w:rPr>
        <w:rFonts w:ascii="Thorndale" w:eastAsia="Andale Sans UI" w:hAnsi="Thorndale" w:cs="Tahoma"/>
        <w:szCs w:val="24"/>
        <w:lang w:bidi="en-US"/>
      </w:rPr>
      <w:fldChar w:fldCharType="separate"/>
    </w:r>
    <w:r>
      <w:rPr>
        <w:rFonts w:ascii="Thorndale" w:eastAsia="Andale Sans UI" w:hAnsi="Thorndale" w:cs="Tahoma"/>
        <w:szCs w:val="24"/>
        <w:lang w:bidi="en-US"/>
      </w:rPr>
      <w:t>3</w:t>
    </w:r>
    <w:r>
      <w:rPr>
        <w:rFonts w:ascii="Thorndale" w:eastAsia="Andale Sans UI" w:hAnsi="Thorndale" w:cs="Tahoma"/>
        <w:szCs w:val="24"/>
        <w:lang w:bidi="en-US"/>
      </w:rPr>
      <w:fldChar w:fldCharType="end"/>
    </w:r>
  </w:p>
  <w:p w14:paraId="1AEC5369" w14:textId="77777777" w:rsidR="00414E5E" w:rsidRDefault="00414E5E">
    <w:pPr>
      <w:widowControl w:val="0"/>
      <w:tabs>
        <w:tab w:val="center" w:pos="4819"/>
        <w:tab w:val="right" w:pos="9638"/>
      </w:tabs>
      <w:suppressAutoHyphens/>
      <w:rPr>
        <w:rFonts w:ascii="Thorndale" w:eastAsia="Andale Sans UI" w:hAnsi="Thorndale" w:cs="Tahoma"/>
        <w:szCs w:val="24"/>
        <w:lang w:bidi="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C536B" w14:textId="77777777" w:rsidR="00414E5E" w:rsidRDefault="00414E5E">
    <w:pPr>
      <w:widowControl w:val="0"/>
      <w:tabs>
        <w:tab w:val="center" w:pos="4819"/>
        <w:tab w:val="right" w:pos="9638"/>
      </w:tabs>
      <w:suppressAutoHyphens/>
      <w:rPr>
        <w:rFonts w:ascii="Thorndale" w:eastAsia="Andale Sans UI" w:hAnsi="Thorndale" w:cs="Tahoma"/>
        <w:szCs w:val="24"/>
        <w:lang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C5361" w14:textId="77777777" w:rsidR="00414E5E" w:rsidRDefault="00931912">
      <w:pPr>
        <w:widowControl w:val="0"/>
        <w:suppressAutoHyphens/>
        <w:rPr>
          <w:rFonts w:ascii="Thorndale" w:eastAsia="Andale Sans UI" w:hAnsi="Thorndale" w:cs="Tahoma"/>
          <w:szCs w:val="24"/>
          <w:lang w:bidi="en-US"/>
        </w:rPr>
      </w:pPr>
      <w:r>
        <w:rPr>
          <w:rFonts w:ascii="Thorndale" w:eastAsia="Andale Sans UI" w:hAnsi="Thorndale" w:cs="Tahoma"/>
          <w:szCs w:val="24"/>
          <w:lang w:bidi="en-US"/>
        </w:rPr>
        <w:separator/>
      </w:r>
    </w:p>
  </w:footnote>
  <w:footnote w:type="continuationSeparator" w:id="0">
    <w:p w14:paraId="1AEC5362" w14:textId="77777777" w:rsidR="00414E5E" w:rsidRDefault="00931912">
      <w:pPr>
        <w:widowControl w:val="0"/>
        <w:suppressAutoHyphens/>
        <w:rPr>
          <w:rFonts w:ascii="Thorndale" w:eastAsia="Andale Sans UI" w:hAnsi="Thorndale" w:cs="Tahoma"/>
          <w:szCs w:val="24"/>
          <w:lang w:bidi="en-US"/>
        </w:rPr>
      </w:pPr>
      <w:r>
        <w:rPr>
          <w:rFonts w:ascii="Thorndale" w:eastAsia="Andale Sans UI" w:hAnsi="Thorndale" w:cs="Tahoma"/>
          <w:szCs w:val="24"/>
          <w:lang w:bidi="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C5365" w14:textId="77777777" w:rsidR="00414E5E" w:rsidRDefault="00414E5E">
    <w:pPr>
      <w:widowControl w:val="0"/>
      <w:tabs>
        <w:tab w:val="center" w:pos="4819"/>
        <w:tab w:val="right" w:pos="9638"/>
      </w:tabs>
      <w:suppressAutoHyphens/>
      <w:rPr>
        <w:rFonts w:ascii="Thorndale" w:eastAsia="Andale Sans UI" w:hAnsi="Thorndale" w:cs="Tahoma"/>
        <w:szCs w:val="24"/>
        <w:lang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C5366" w14:textId="77777777" w:rsidR="00414E5E" w:rsidRDefault="00414E5E">
    <w:pPr>
      <w:widowControl w:val="0"/>
      <w:tabs>
        <w:tab w:val="center" w:pos="4819"/>
        <w:tab w:val="right" w:pos="9638"/>
      </w:tabs>
      <w:suppressAutoHyphens/>
      <w:rPr>
        <w:rFonts w:ascii="Thorndale" w:eastAsia="Andale Sans UI" w:hAnsi="Thorndale" w:cs="Tahoma"/>
        <w:szCs w:val="24"/>
        <w:lang w:bidi="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C536A" w14:textId="77777777" w:rsidR="00414E5E" w:rsidRDefault="00414E5E">
    <w:pPr>
      <w:widowControl w:val="0"/>
      <w:tabs>
        <w:tab w:val="center" w:pos="4819"/>
        <w:tab w:val="right" w:pos="9638"/>
      </w:tabs>
      <w:suppressAutoHyphens/>
      <w:rPr>
        <w:rFonts w:ascii="Thorndale" w:eastAsia="Andale Sans UI" w:hAnsi="Thorndale" w:cs="Tahoma"/>
        <w:szCs w:val="24"/>
        <w:lang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3B"/>
    <w:rsid w:val="002E5C3B"/>
    <w:rsid w:val="00414E5E"/>
    <w:rsid w:val="00931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AEC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31912"/>
    <w:rPr>
      <w:rFonts w:ascii="Tahoma" w:hAnsi="Tahoma" w:cs="Tahoma"/>
      <w:sz w:val="16"/>
      <w:szCs w:val="16"/>
    </w:rPr>
  </w:style>
  <w:style w:type="character" w:customStyle="1" w:styleId="DebesliotekstasDiagrama">
    <w:name w:val="Debesėlio tekstas Diagrama"/>
    <w:basedOn w:val="Numatytasispastraiposriftas"/>
    <w:link w:val="Debesliotekstas"/>
    <w:rsid w:val="00931912"/>
    <w:rPr>
      <w:rFonts w:ascii="Tahoma" w:hAnsi="Tahoma" w:cs="Tahoma"/>
      <w:sz w:val="16"/>
      <w:szCs w:val="16"/>
    </w:rPr>
  </w:style>
  <w:style w:type="character" w:styleId="Vietosrezervavimoenklotekstas">
    <w:name w:val="Placeholder Text"/>
    <w:basedOn w:val="Numatytasispastraiposriftas"/>
    <w:rsid w:val="009319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31912"/>
    <w:rPr>
      <w:rFonts w:ascii="Tahoma" w:hAnsi="Tahoma" w:cs="Tahoma"/>
      <w:sz w:val="16"/>
      <w:szCs w:val="16"/>
    </w:rPr>
  </w:style>
  <w:style w:type="character" w:customStyle="1" w:styleId="DebesliotekstasDiagrama">
    <w:name w:val="Debesėlio tekstas Diagrama"/>
    <w:basedOn w:val="Numatytasispastraiposriftas"/>
    <w:link w:val="Debesliotekstas"/>
    <w:rsid w:val="00931912"/>
    <w:rPr>
      <w:rFonts w:ascii="Tahoma" w:hAnsi="Tahoma" w:cs="Tahoma"/>
      <w:sz w:val="16"/>
      <w:szCs w:val="16"/>
    </w:rPr>
  </w:style>
  <w:style w:type="character" w:styleId="Vietosrezervavimoenklotekstas">
    <w:name w:val="Placeholder Text"/>
    <w:basedOn w:val="Numatytasispastraiposriftas"/>
    <w:rsid w:val="00931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
    <w:altName w:val="Times New Roman"/>
    <w:charset w:val="00"/>
    <w:family w:val="roman"/>
    <w:pitch w:val="variable"/>
  </w:font>
  <w:font w:name="Andale Sans UI">
    <w:altName w:val="Arial Unicode MS"/>
    <w:charset w:val="BA"/>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69"/>
    <w:rsid w:val="001951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951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951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9aa6b2e76f534cca88870813ea221a0e" PartId="9da0dfc31718480a8bef1348ae8af5e8">
    <Part Type="preambule" DocPartId="97e066f80cb045d29fb74157e7035af0" PartId="969b5c1940d64315bda821a306c279a9"/>
    <Part Type="punktas" Nr="1" Abbr="1 p." DocPartId="953e2a5a1f0b43448da963611a3d6bee" PartId="be4e8cb0da0a47acb5a83175ec334593"/>
    <Part Type="punktas" Nr="2" Abbr="2 p." DocPartId="dc6a49725d6c4b3fbe5c92f18c1e8379" PartId="93b29d419fe34929be389e3fbaa722ca"/>
    <Part Type="signatura" Nr="" Abbr="" Title="" Notes="" DocPartId="27ed94cf1f194090a7ea34af3d1999da" PartId="2bd5224e7a7548f3a4779dd351a7f19a"/>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094C0-0252-42C6-8C30-AFC42E9B764F}">
  <ds:schemaRefs>
    <ds:schemaRef ds:uri="http://lrs.lt/TAIS/DocParts"/>
  </ds:schemaRefs>
</ds:datastoreItem>
</file>

<file path=customXml/itemProps2.xml><?xml version="1.0" encoding="utf-8"?>
<ds:datastoreItem xmlns:ds="http://schemas.openxmlformats.org/officeDocument/2006/customXml" ds:itemID="{7C0B1CD6-9C44-4161-A5E2-7C6C0296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1362</Words>
  <Characters>777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2135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Klimavicius</dc:creator>
  <cp:lastModifiedBy>LAUKIONYTĖ Irena</cp:lastModifiedBy>
  <cp:revision>3</cp:revision>
  <cp:lastPrinted>2014-09-19T05:18:00Z</cp:lastPrinted>
  <dcterms:created xsi:type="dcterms:W3CDTF">2016-02-01T13:14:00Z</dcterms:created>
  <dcterms:modified xsi:type="dcterms:W3CDTF">2016-02-01T14:25:00Z</dcterms:modified>
</cp:coreProperties>
</file>