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EA4A" w14:textId="77777777" w:rsidR="002E1845" w:rsidRDefault="002E1845" w:rsidP="00647FC7">
      <w:pPr>
        <w:tabs>
          <w:tab w:val="center" w:pos="4153"/>
          <w:tab w:val="right" w:pos="8306"/>
        </w:tabs>
        <w:overflowPunct w:val="0"/>
        <w:jc w:val="both"/>
        <w:textAlignment w:val="baseline"/>
        <w:rPr>
          <w:lang w:val="en-GB"/>
        </w:rPr>
      </w:pPr>
    </w:p>
    <w:p w14:paraId="17C36997" w14:textId="17A71089" w:rsidR="002E1845" w:rsidRDefault="00647FC7" w:rsidP="00647FC7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8"/>
          <w:lang w:eastAsia="lt-LT"/>
        </w:rPr>
        <w:drawing>
          <wp:inline distT="0" distB="0" distL="0" distR="0" wp14:anchorId="17C36A43" wp14:editId="17C36A44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36998" w14:textId="77777777" w:rsidR="002E1845" w:rsidRDefault="00647FC7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17C36999" w14:textId="77777777" w:rsidR="002E1845" w:rsidRDefault="002E1845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17C3699A" w14:textId="77777777" w:rsidR="002E1845" w:rsidRDefault="00647FC7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4A4DDF29" w14:textId="77777777" w:rsidR="002E1845" w:rsidRDefault="00647FC7">
      <w:pPr>
        <w:overflowPunct w:val="0"/>
        <w:jc w:val="center"/>
        <w:textAlignment w:val="baseline"/>
        <w:rPr>
          <w:b/>
        </w:rPr>
      </w:pPr>
      <w:r>
        <w:rPr>
          <w:b/>
          <w:bCs/>
          <w:szCs w:val="24"/>
        </w:rPr>
        <w:t xml:space="preserve">DĖL ŽEMĖS ŪKIO MINISTRO 2020 M. SAUSIO 15 D. ĮSAKYMO NR. 3D-26 „DĖL EUROPOS JŪRŲ REIKALŲ IR ŽUVININKYSTĖS FONDO IR VIEŠOSIOS </w:t>
      </w:r>
      <w:r>
        <w:rPr>
          <w:b/>
          <w:bCs/>
          <w:szCs w:val="24"/>
        </w:rPr>
        <w:t>PARAMOS DIDŽIAUSIŲJŲ METINIŲ LĖŠŲ, SKIRTŲ ĮSIPAREIGOJIMAMS PAGAL LIETUVOS ŽUVININKYSTĖS SEKTORIAUS 2014–2020 METŲ VEIKSMŲ PROGRAMOS PRIEMONES IR VEIKLOS SRITIS 2020 METAIS, PASKIRSTYMO SĄRAŠO PATVIRTINIMO“ PAKEITIMO</w:t>
      </w:r>
    </w:p>
    <w:p w14:paraId="17C3699D" w14:textId="77777777" w:rsidR="002E1845" w:rsidRDefault="002E1845">
      <w:pPr>
        <w:overflowPunct w:val="0"/>
        <w:jc w:val="center"/>
        <w:textAlignment w:val="baseline"/>
      </w:pPr>
    </w:p>
    <w:p w14:paraId="17C3699E" w14:textId="1942D596" w:rsidR="002E1845" w:rsidRDefault="00647FC7" w:rsidP="00647FC7">
      <w:pPr>
        <w:overflowPunct w:val="0"/>
        <w:jc w:val="center"/>
        <w:textAlignment w:val="baseline"/>
      </w:pPr>
      <w:r>
        <w:t xml:space="preserve">2020 m. spalio 22 </w:t>
      </w:r>
      <w:r>
        <w:t>d. Nr. 3D-722</w:t>
      </w:r>
    </w:p>
    <w:p w14:paraId="17C3699F" w14:textId="77777777" w:rsidR="002E1845" w:rsidRDefault="00647FC7" w:rsidP="00647FC7">
      <w:pPr>
        <w:overflowPunct w:val="0"/>
        <w:jc w:val="center"/>
        <w:textAlignment w:val="baseline"/>
      </w:pPr>
      <w:r>
        <w:t>Vilnius</w:t>
      </w:r>
    </w:p>
    <w:p w14:paraId="32B47D21" w14:textId="4DCAF3E3" w:rsidR="002E1845" w:rsidRDefault="002E1845">
      <w:pPr>
        <w:overflowPunct w:val="0"/>
        <w:jc w:val="center"/>
        <w:textAlignment w:val="baseline"/>
      </w:pPr>
    </w:p>
    <w:p w14:paraId="7DFB30B1" w14:textId="77777777" w:rsidR="002E1845" w:rsidRDefault="002E1845">
      <w:pPr>
        <w:overflowPunct w:val="0"/>
        <w:jc w:val="center"/>
        <w:textAlignment w:val="baseline"/>
      </w:pPr>
    </w:p>
    <w:p w14:paraId="481B7E95" w14:textId="2FC40E5D" w:rsidR="002E1845" w:rsidRDefault="00647FC7" w:rsidP="00647FC7">
      <w:pPr>
        <w:overflowPunct w:val="0"/>
        <w:spacing w:line="360" w:lineRule="auto"/>
        <w:ind w:firstLine="720"/>
        <w:jc w:val="both"/>
        <w:textAlignment w:val="baseline"/>
      </w:pPr>
      <w:r>
        <w:rPr>
          <w:szCs w:val="24"/>
        </w:rPr>
        <w:t xml:space="preserve">P a k e i č i u Europos jūrų reikalų ir žuvininkystės fondo ir viešosios paramos didžiausiųjų metinių lėšų, skirtų įsipareigojimams pagal Lietuvos žuvininkystės sektoriaus 2014–2020 metų veiksmų programos priemones ir veiklos sritis 2020 metais, </w:t>
      </w:r>
      <w:r>
        <w:rPr>
          <w:szCs w:val="24"/>
        </w:rPr>
        <w:t>paskirstymo sąrašą, patvirtintą Lietuvos Respublikos žemės ūkio ministro 2020 m. sausio 15 d. įsakymu Nr. 3D-26 „Dėl Europos jūrų reikalų ir žuvininkystės fondo ir viešosios paramos didžiausiųjų metinių lėšų, skirtų įsipareigojimams pagal Lietuvos žuvinink</w:t>
      </w:r>
      <w:r>
        <w:rPr>
          <w:szCs w:val="24"/>
        </w:rPr>
        <w:t>ystės sektoriaus 2014–2020 metų veiksmų programos priemones ir veiklos sritis 2020 metais, paskirstymo sąrašo patvirtinimo“, ir jį išdėstau nauja redakcija (pridedama).</w:t>
      </w:r>
    </w:p>
    <w:p w14:paraId="0538C1EE" w14:textId="038C60BE" w:rsidR="00647FC7" w:rsidRDefault="00647FC7">
      <w:pPr>
        <w:overflowPunct w:val="0"/>
        <w:spacing w:line="360" w:lineRule="auto"/>
        <w:jc w:val="both"/>
        <w:textAlignment w:val="baseline"/>
      </w:pPr>
    </w:p>
    <w:p w14:paraId="6D7474A4" w14:textId="77777777" w:rsidR="00647FC7" w:rsidRDefault="00647FC7">
      <w:pPr>
        <w:overflowPunct w:val="0"/>
        <w:spacing w:line="360" w:lineRule="auto"/>
        <w:jc w:val="both"/>
        <w:textAlignment w:val="baseline"/>
      </w:pPr>
    </w:p>
    <w:p w14:paraId="6EA19518" w14:textId="7A0C111F" w:rsidR="002E1845" w:rsidRDefault="00647FC7">
      <w:pPr>
        <w:overflowPunct w:val="0"/>
        <w:spacing w:line="360" w:lineRule="auto"/>
        <w:jc w:val="both"/>
        <w:textAlignment w:val="baseline"/>
      </w:pPr>
      <w:r>
        <w:t>Žemės ūkio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Andrius Palionis</w:t>
      </w:r>
    </w:p>
    <w:p w14:paraId="325090D0" w14:textId="77777777" w:rsidR="002E1845" w:rsidRDefault="00647FC7">
      <w:pPr>
        <w:tabs>
          <w:tab w:val="center" w:pos="4153"/>
          <w:tab w:val="right" w:pos="8306"/>
        </w:tabs>
        <w:overflowPunct w:val="0"/>
        <w:jc w:val="both"/>
        <w:textAlignment w:val="baseline"/>
        <w:rPr>
          <w:lang w:val="en-GB"/>
        </w:rPr>
      </w:pPr>
    </w:p>
    <w:bookmarkStart w:id="0" w:name="_GoBack" w:displacedByCustomXml="prev"/>
    <w:bookmarkEnd w:id="0" w:displacedByCustomXml="prev"/>
    <w:p w14:paraId="76DA8BD0" w14:textId="77777777" w:rsidR="00647FC7" w:rsidRDefault="00647FC7">
      <w:pPr>
        <w:overflowPunct w:val="0"/>
        <w:ind w:left="5387"/>
        <w:jc w:val="both"/>
        <w:textAlignment w:val="baseline"/>
        <w:sectPr w:rsidR="00647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701" w:right="567" w:bottom="1134" w:left="1701" w:header="567" w:footer="567" w:gutter="0"/>
          <w:cols w:space="1296"/>
          <w:titlePg/>
          <w:docGrid w:linePitch="326"/>
        </w:sectPr>
      </w:pPr>
    </w:p>
    <w:p w14:paraId="606B6B54" w14:textId="790CB076" w:rsidR="002E1845" w:rsidRDefault="00647FC7">
      <w:pPr>
        <w:overflowPunct w:val="0"/>
        <w:ind w:left="5387"/>
        <w:jc w:val="both"/>
        <w:textAlignment w:val="baseline"/>
      </w:pPr>
      <w:r>
        <w:lastRenderedPageBreak/>
        <w:t>PATVIRTINTA</w:t>
      </w:r>
    </w:p>
    <w:p w14:paraId="14016A42" w14:textId="77777777" w:rsidR="002E1845" w:rsidRDefault="00647FC7">
      <w:pPr>
        <w:overflowPunct w:val="0"/>
        <w:ind w:left="5387"/>
        <w:jc w:val="both"/>
        <w:textAlignment w:val="baseline"/>
      </w:pPr>
      <w:r>
        <w:t>Lietuvos Respublikos žemės</w:t>
      </w:r>
    </w:p>
    <w:p w14:paraId="1556194E" w14:textId="77777777" w:rsidR="002E1845" w:rsidRDefault="00647FC7">
      <w:pPr>
        <w:overflowPunct w:val="0"/>
        <w:ind w:left="5387"/>
        <w:jc w:val="both"/>
        <w:textAlignment w:val="baseline"/>
      </w:pPr>
      <w:r>
        <w:t>ūkio ministro 2020 m. sausio 15 d.</w:t>
      </w:r>
    </w:p>
    <w:p w14:paraId="23158913" w14:textId="77777777" w:rsidR="002E1845" w:rsidRDefault="00647FC7">
      <w:pPr>
        <w:overflowPunct w:val="0"/>
        <w:ind w:left="5387"/>
        <w:jc w:val="both"/>
        <w:textAlignment w:val="baseline"/>
      </w:pPr>
      <w:r>
        <w:t>įsakymu Nr. 3D-26</w:t>
      </w:r>
    </w:p>
    <w:p w14:paraId="0C38592D" w14:textId="77777777" w:rsidR="002E1845" w:rsidRDefault="00647FC7">
      <w:pPr>
        <w:overflowPunct w:val="0"/>
        <w:ind w:left="5387"/>
        <w:jc w:val="both"/>
        <w:textAlignment w:val="baseline"/>
      </w:pPr>
      <w:r>
        <w:t>(Lietuvos Respublikos žemės ūkio</w:t>
      </w:r>
    </w:p>
    <w:p w14:paraId="68C1BA75" w14:textId="393293FD" w:rsidR="002E1845" w:rsidRDefault="00647FC7">
      <w:pPr>
        <w:overflowPunct w:val="0"/>
        <w:ind w:left="5387"/>
        <w:jc w:val="both"/>
        <w:textAlignment w:val="baseline"/>
      </w:pPr>
      <w:r>
        <w:t>ministro 2020 m. spalio 22 d.</w:t>
      </w:r>
    </w:p>
    <w:p w14:paraId="6B1B13A9" w14:textId="1EB74639" w:rsidR="002E1845" w:rsidRDefault="00647FC7">
      <w:pPr>
        <w:overflowPunct w:val="0"/>
        <w:ind w:left="5387"/>
        <w:jc w:val="both"/>
        <w:textAlignment w:val="baseline"/>
      </w:pPr>
      <w:r>
        <w:t>įsakymo Nr. 3D-722</w:t>
      </w:r>
      <w:r>
        <w:t xml:space="preserve"> redakcija)</w:t>
      </w:r>
    </w:p>
    <w:p w14:paraId="08CE2F96" w14:textId="77777777" w:rsidR="002E1845" w:rsidRDefault="002E1845">
      <w:pPr>
        <w:overflowPunct w:val="0"/>
        <w:ind w:left="5387"/>
        <w:jc w:val="both"/>
        <w:textAlignment w:val="baseline"/>
      </w:pPr>
    </w:p>
    <w:p w14:paraId="69044443" w14:textId="42C0C65B" w:rsidR="002E1845" w:rsidRDefault="002E1845">
      <w:pPr>
        <w:overflowPunct w:val="0"/>
        <w:ind w:left="7371"/>
        <w:jc w:val="both"/>
        <w:textAlignment w:val="baseline"/>
        <w:rPr>
          <w:b/>
          <w:bCs/>
          <w:sz w:val="20"/>
        </w:rPr>
      </w:pPr>
    </w:p>
    <w:p w14:paraId="7886643A" w14:textId="77777777" w:rsidR="002E1845" w:rsidRDefault="002E1845">
      <w:pPr>
        <w:overflowPunct w:val="0"/>
        <w:ind w:left="7371"/>
        <w:jc w:val="both"/>
        <w:textAlignment w:val="baseline"/>
        <w:rPr>
          <w:b/>
          <w:bCs/>
          <w:sz w:val="20"/>
        </w:rPr>
      </w:pPr>
    </w:p>
    <w:p w14:paraId="63BBB613" w14:textId="77777777" w:rsidR="002E1845" w:rsidRDefault="00647FC7">
      <w:pPr>
        <w:overflowPunct w:val="0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EUROPOS JŪRŲ REIKALŲ IR ŽUVININKYSTĖS FONDO IR VIEŠOSIOS PARAMOS </w:t>
      </w:r>
      <w:r>
        <w:rPr>
          <w:b/>
          <w:bCs/>
          <w:sz w:val="22"/>
          <w:szCs w:val="22"/>
        </w:rPr>
        <w:t>DIDŽIAUSIŲJŲ METINIŲ LĖŠŲ, SKIRTŲ ĮSIPAREIGOJIMAMS PAGAL LIETUVOS ŽUVININKYSTĖS SEKTORIAUS 2014–2020 METŲ VEIKSMŲ PROGRAMOS PRIEMONES IR VEIKLOS SRITIS 2020 METAIS, PASKIRSTYMO SĄRAŠAS</w:t>
      </w:r>
    </w:p>
    <w:p w14:paraId="3344DAC8" w14:textId="56BFF6BC" w:rsidR="002E1845" w:rsidRDefault="002E1845">
      <w:pPr>
        <w:overflowPunct w:val="0"/>
        <w:jc w:val="both"/>
        <w:textAlignment w:val="baseline"/>
        <w:rPr>
          <w:sz w:val="22"/>
          <w:szCs w:val="22"/>
        </w:rPr>
      </w:pPr>
    </w:p>
    <w:p w14:paraId="1D697945" w14:textId="77777777" w:rsidR="002E1845" w:rsidRDefault="002E1845">
      <w:pPr>
        <w:overflowPunct w:val="0"/>
        <w:jc w:val="both"/>
        <w:textAlignment w:val="baseline"/>
        <w:rPr>
          <w:sz w:val="22"/>
          <w:szCs w:val="22"/>
        </w:rPr>
      </w:pPr>
    </w:p>
    <w:p w14:paraId="738A095D" w14:textId="77777777" w:rsidR="002E1845" w:rsidRDefault="002E1845">
      <w:pPr>
        <w:overflowPunct w:val="0"/>
        <w:jc w:val="both"/>
        <w:textAlignment w:val="baseline"/>
        <w:rPr>
          <w:sz w:val="22"/>
          <w:szCs w:val="22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297"/>
        <w:gridCol w:w="1322"/>
        <w:gridCol w:w="1435"/>
      </w:tblGrid>
      <w:tr w:rsidR="002E1845" w14:paraId="504E2C42" w14:textId="77777777">
        <w:trPr>
          <w:cantSplit/>
          <w:trHeight w:val="341"/>
          <w:tblHeader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2568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Eil. Nr. </w:t>
            </w:r>
          </w:p>
        </w:tc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BA8E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Priemonė, veiklos sritis, veikla (sektorius)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C721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Didžiausia </w:t>
            </w:r>
            <w:r>
              <w:rPr>
                <w:rFonts w:eastAsia="Calibri"/>
                <w:bCs/>
                <w:sz w:val="22"/>
                <w:szCs w:val="22"/>
              </w:rPr>
              <w:t>lėšų suma nuo 2020 m. iki 2021 m.</w:t>
            </w:r>
          </w:p>
        </w:tc>
      </w:tr>
      <w:tr w:rsidR="002E1845" w14:paraId="48C18683" w14:textId="77777777">
        <w:trPr>
          <w:cantSplit/>
          <w:trHeight w:val="10"/>
          <w:tblHeader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AFB3" w14:textId="77777777" w:rsidR="002E1845" w:rsidRDefault="002E1845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4A0E" w14:textId="77777777" w:rsidR="002E1845" w:rsidRDefault="002E1845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6E7BB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iš viso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4D94F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iš jų EJRŽF</w:t>
            </w:r>
          </w:p>
        </w:tc>
      </w:tr>
      <w:tr w:rsidR="002E1845" w14:paraId="5193538C" w14:textId="77777777">
        <w:trPr>
          <w:cantSplit/>
          <w:trHeight w:val="50"/>
          <w:tblHeader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2F20" w14:textId="77777777" w:rsidR="002E1845" w:rsidRDefault="002E1845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A8CE" w14:textId="77777777" w:rsidR="002E1845" w:rsidRDefault="002E1845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B9EF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CA29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Eur</w:t>
            </w:r>
            <w:proofErr w:type="spellEnd"/>
          </w:p>
        </w:tc>
      </w:tr>
      <w:tr w:rsidR="002E1845" w14:paraId="0C7DDB3E" w14:textId="77777777">
        <w:trPr>
          <w:cantSplit/>
          <w:trHeight w:val="10"/>
          <w:jc w:val="center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8F4BC" w14:textId="77777777" w:rsidR="002E1845" w:rsidRDefault="00647FC7">
            <w:pPr>
              <w:overflowPunct w:val="0"/>
              <w:textAlignment w:val="baseline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 Sąjungos prioritetas. Aplinkosaugos požiūriu tvarios, efektyviai išteklius naudojančios, inovacinės, konkurencingos ir žiniomis grindžiamos žvejybos skatinimas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7FBA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4 965 800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DB95" w14:textId="6EE60D95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3 480 400 </w:t>
            </w:r>
          </w:p>
        </w:tc>
      </w:tr>
      <w:tr w:rsidR="002E1845" w14:paraId="6E7B9CCC" w14:textId="77777777">
        <w:trPr>
          <w:cantSplit/>
          <w:trHeight w:val="2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9384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1F6B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Mokslininkų ir žvejų partnerystės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3E5C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3E3E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112 500</w:t>
            </w:r>
          </w:p>
        </w:tc>
      </w:tr>
      <w:tr w:rsidR="002E1845" w14:paraId="0F9836BE" w14:textId="77777777">
        <w:trPr>
          <w:cantSplit/>
          <w:trHeight w:val="3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3ADE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E1AC2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Žvejybos poveikio jūrų aplinkai mažinimas ir žvejybos pritaikymas siekiant apsaugoti rūšis </w:t>
            </w:r>
          </w:p>
          <w:p w14:paraId="0D656297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(jūrų ir vidaus vandenų žvejybai)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F3BB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FB3E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</w:p>
        </w:tc>
      </w:tr>
      <w:tr w:rsidR="002E1845" w14:paraId="39F0E87F" w14:textId="77777777">
        <w:trPr>
          <w:cantSplit/>
          <w:trHeight w:val="79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D9DC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AA7AA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Pridėtinė vertė, produktų kokybė ir nepageidaujamos </w:t>
            </w:r>
            <w:r>
              <w:rPr>
                <w:rFonts w:eastAsia="Calibri"/>
                <w:sz w:val="22"/>
                <w:szCs w:val="22"/>
              </w:rPr>
              <w:t>priegaudos panaudojimas</w:t>
            </w:r>
          </w:p>
          <w:p w14:paraId="4B0ED6F6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(jūrų ir vidaus vandenų žvejybai)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69AC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1 000 000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63A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750 000</w:t>
            </w:r>
          </w:p>
        </w:tc>
      </w:tr>
      <w:tr w:rsidR="002E1845" w14:paraId="627EA720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196A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EA13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Pridėtinė vertė, produktų kokybė ir nepageidaujamos priegaudos panaudojimas</w:t>
            </w:r>
          </w:p>
          <w:p w14:paraId="0363AA55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(jūrų ir vidaus vandenų žvejybai) (Supaprastinta parama)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20AC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3D40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375 000</w:t>
            </w:r>
          </w:p>
        </w:tc>
      </w:tr>
      <w:tr w:rsidR="002E1845" w14:paraId="4DDD05A2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5F87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7CE9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Jūrų biologinės </w:t>
            </w:r>
            <w:r>
              <w:rPr>
                <w:rFonts w:eastAsia="Calibri"/>
                <w:sz w:val="22"/>
                <w:szCs w:val="22"/>
              </w:rPr>
              <w:t>įvairovės išsaugojimas ir atkūrimas. Laimikiui žinduolių ir paukščių padarytos žalos kompensavimo sistemos</w:t>
            </w:r>
            <w:r>
              <w:rPr>
                <w:rFonts w:eastAsia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954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BEAE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142 500</w:t>
            </w:r>
          </w:p>
        </w:tc>
      </w:tr>
      <w:tr w:rsidR="002E1845" w14:paraId="5EEE2C34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EB66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6FD7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Žvejybos uostai, iškrovimo vietos, aukcionų patalpos ir priedangos. Investicijos, kuriomis siekiama palengvinti įsipareigojimo </w:t>
            </w:r>
            <w:r>
              <w:rPr>
                <w:rFonts w:eastAsia="Calibri"/>
                <w:sz w:val="22"/>
                <w:szCs w:val="22"/>
              </w:rPr>
              <w:t>iškrauti visą laimikį laikymąsi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3F09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EB07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112 500</w:t>
            </w:r>
          </w:p>
        </w:tc>
      </w:tr>
      <w:tr w:rsidR="002E1845" w14:paraId="2D90C20F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BDB9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7.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658F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Žvejybos uostai, iškrovimo vietos, aukcionų patalpos ir priedangos. Investicijos į žvejybos uostų ir aukcionų patalpų infrastruktūros arba iškrovimo vietų ir priedangų gerinimą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E276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9598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600 000</w:t>
            </w:r>
          </w:p>
        </w:tc>
      </w:tr>
      <w:tr w:rsidR="002E1845" w14:paraId="1014A0F8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8B1F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FDA8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Energijos vartojimo efektyvumas ir klimato kaitos švelninimas. Pagrindinių arba pagalbinių variklių keitimas arba modernizavimas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BDE4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15 800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C5F2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7 900</w:t>
            </w:r>
          </w:p>
        </w:tc>
      </w:tr>
      <w:tr w:rsidR="002E1845" w14:paraId="32F7DB32" w14:textId="77777777">
        <w:trPr>
          <w:cantSplit/>
          <w:trHeight w:val="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0B96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2387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Laikinas žvejybos veiklos nutraukimas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C811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C60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280 000</w:t>
            </w:r>
          </w:p>
        </w:tc>
      </w:tr>
      <w:tr w:rsidR="002E1845" w14:paraId="3D92A149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C91B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F6A3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Kompensacijos žvejybos įmonių darbuotojams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9F4A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400 </w:t>
            </w:r>
            <w:r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85B7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200 000</w:t>
            </w:r>
          </w:p>
        </w:tc>
      </w:tr>
      <w:tr w:rsidR="002E1845" w14:paraId="4E0F067A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4543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11.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E9B7" w14:textId="77777777" w:rsidR="002E1845" w:rsidRDefault="00647FC7">
            <w:pPr>
              <w:overflowPunct w:val="0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Laikinas žvejybos veiklos nutraukimas dėl COVID-19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EB2B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BAB9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750 000</w:t>
            </w:r>
          </w:p>
        </w:tc>
      </w:tr>
      <w:tr w:rsidR="002E1845" w14:paraId="29C222F2" w14:textId="77777777">
        <w:trPr>
          <w:cantSplit/>
          <w:trHeight w:val="627"/>
          <w:jc w:val="center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43CC" w14:textId="77777777" w:rsidR="002E1845" w:rsidRDefault="00647FC7">
            <w:pPr>
              <w:overflowPunct w:val="0"/>
              <w:textAlignment w:val="baseline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2 Sąjungos prioritetas. Aplinkosaugos požiūriu tvarios, efektyviai išteklius naudojančios, inovacinės, konkurencingos ir žiniomis grindžiamos akvakultūros skatinimas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BBE7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8 </w:t>
            </w:r>
            <w:r>
              <w:rPr>
                <w:rFonts w:eastAsia="Calibri"/>
                <w:b/>
                <w:sz w:val="22"/>
                <w:szCs w:val="22"/>
              </w:rPr>
              <w:t>233 916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821C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6 175 437</w:t>
            </w:r>
          </w:p>
        </w:tc>
      </w:tr>
      <w:tr w:rsidR="002E1845" w14:paraId="2FB8A992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6F4A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12.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2766" w14:textId="77777777" w:rsidR="002E1845" w:rsidRDefault="00647FC7">
            <w:pPr>
              <w:suppressAutoHyphens/>
              <w:overflowPunct w:val="0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Produktyvios investicijos į akvakultūrą (išskyrus energijos vartojimo efektyvumo didinimą)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52C4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F375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225 000</w:t>
            </w:r>
          </w:p>
        </w:tc>
      </w:tr>
      <w:tr w:rsidR="002E1845" w14:paraId="72B30410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0640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B8A3" w14:textId="77777777" w:rsidR="002E1845" w:rsidRDefault="00647FC7">
            <w:pPr>
              <w:suppressAutoHyphens/>
              <w:overflowPunct w:val="0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Produktyvios investicijos į didelės apimties akvakultūros gamybą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3AED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t>4 033 916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7DBA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t>3 025 437</w:t>
            </w:r>
          </w:p>
        </w:tc>
      </w:tr>
      <w:tr w:rsidR="002E1845" w14:paraId="205A634F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BC31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14.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390AB" w14:textId="77777777" w:rsidR="002E1845" w:rsidRDefault="00647FC7">
            <w:pPr>
              <w:suppressAutoHyphens/>
              <w:overflowPunct w:val="0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Produktyvios investicijos į </w:t>
            </w:r>
            <w:r>
              <w:rPr>
                <w:rFonts w:eastAsia="Calibri"/>
                <w:sz w:val="22"/>
                <w:szCs w:val="22"/>
              </w:rPr>
              <w:t>akvakultūrą. Energijos vartojimo efektyvumo didinimas ir atsinaujinančioji energija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ED67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56DF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300 000</w:t>
            </w:r>
          </w:p>
        </w:tc>
      </w:tr>
      <w:tr w:rsidR="002E1845" w14:paraId="033F2938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8D50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15.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1812" w14:textId="77777777" w:rsidR="002E1845" w:rsidRDefault="00647FC7">
            <w:pPr>
              <w:suppressAutoHyphens/>
              <w:overflowPunct w:val="0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Produktyvios investicijos į akvakultūrą (Supaprastinta parama)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347E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AA54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225 000</w:t>
            </w:r>
          </w:p>
        </w:tc>
      </w:tr>
      <w:tr w:rsidR="002E1845" w14:paraId="5A678119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EE83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16.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6CEAA" w14:textId="77777777" w:rsidR="002E1845" w:rsidRDefault="00647FC7">
            <w:pPr>
              <w:suppressAutoHyphens/>
              <w:overflowPunct w:val="0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Iniciatyvos, kuriomis siekiama sumažinti akvakultūros priklausomybę nuo veterinarinių vaistų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2DA4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1 600 000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DD46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1 200 000</w:t>
            </w:r>
          </w:p>
        </w:tc>
      </w:tr>
      <w:tr w:rsidR="002E1845" w14:paraId="76B747CD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7E8A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17.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418A" w14:textId="77777777" w:rsidR="002E1845" w:rsidRDefault="00647FC7">
            <w:pPr>
              <w:suppressAutoHyphens/>
              <w:overflowPunct w:val="0"/>
              <w:textAlignment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Covid-19</w:t>
            </w:r>
            <w:proofErr w:type="spellEnd"/>
            <w:r>
              <w:rPr>
                <w:sz w:val="22"/>
                <w:szCs w:val="22"/>
              </w:rPr>
              <w:t xml:space="preserve"> protrūkio neigiamo poveikio akvakultūrai mažinimas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F09A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1 600 000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F086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1 200 000</w:t>
            </w:r>
          </w:p>
        </w:tc>
      </w:tr>
      <w:tr w:rsidR="002E1845" w14:paraId="7D4D32D6" w14:textId="77777777">
        <w:trPr>
          <w:cantSplit/>
          <w:trHeight w:val="10"/>
          <w:jc w:val="center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7EE0" w14:textId="77777777" w:rsidR="002E1845" w:rsidRDefault="00647FC7">
            <w:pPr>
              <w:overflowPunct w:val="0"/>
              <w:textAlignment w:val="baseline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5 Sąjungos prioritetas. Prekybos ir perdirbimo </w:t>
            </w:r>
            <w:r>
              <w:rPr>
                <w:rFonts w:eastAsia="Calibri"/>
                <w:b/>
                <w:bCs/>
                <w:sz w:val="22"/>
                <w:szCs w:val="22"/>
              </w:rPr>
              <w:t>skatinimas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5DDE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5 400 000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0FA7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4 050 000</w:t>
            </w:r>
          </w:p>
        </w:tc>
      </w:tr>
      <w:tr w:rsidR="002E1845" w14:paraId="2410698F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2C4A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18.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BFC4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Gamybos ir prekybos planai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947B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D0BA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300 000</w:t>
            </w:r>
          </w:p>
        </w:tc>
      </w:tr>
      <w:tr w:rsidR="002E1845" w14:paraId="10B6ACED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49B9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19.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F0F94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Rinkodaros priemonės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84A5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8CA6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150 000</w:t>
            </w:r>
          </w:p>
        </w:tc>
      </w:tr>
      <w:tr w:rsidR="002E1845" w14:paraId="5EE14C0E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B3DF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55F8E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Žvejybos ir akvakultūros produktų perdirbimas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B9DB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4 500 000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D65B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3 375 000</w:t>
            </w:r>
          </w:p>
        </w:tc>
      </w:tr>
      <w:tr w:rsidR="002E1845" w14:paraId="4CEE3D82" w14:textId="77777777">
        <w:trPr>
          <w:cantSplit/>
          <w:trHeight w:val="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9D9D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21.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526C" w14:textId="77777777" w:rsidR="002E1845" w:rsidRDefault="00647FC7">
            <w:pPr>
              <w:overflowPunct w:val="0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Žvejybos ir akvakultūros produktų perdirbimas </w:t>
            </w:r>
            <w:r>
              <w:rPr>
                <w:rFonts w:eastAsia="Calibri"/>
                <w:sz w:val="22"/>
                <w:szCs w:val="22"/>
              </w:rPr>
              <w:t>(Supaprastinta parama)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D086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95FA" w14:textId="77777777" w:rsidR="002E1845" w:rsidRDefault="00647FC7">
            <w:pPr>
              <w:overflowPunct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225 000</w:t>
            </w:r>
          </w:p>
        </w:tc>
      </w:tr>
      <w:tr w:rsidR="002E1845" w14:paraId="79EF91D3" w14:textId="77777777">
        <w:trPr>
          <w:cantSplit/>
          <w:trHeight w:val="3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A8C14" w14:textId="77777777" w:rsidR="002E1845" w:rsidRDefault="002E1845">
            <w:pPr>
              <w:overflowPunct w:val="0"/>
              <w:jc w:val="both"/>
              <w:textAlignment w:val="baseline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C2AB" w14:textId="77777777" w:rsidR="002E1845" w:rsidRDefault="00647FC7">
            <w:pPr>
              <w:overflowPunct w:val="0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IŠ VISO: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E713" w14:textId="77777777" w:rsidR="002E1845" w:rsidRDefault="00647FC7">
            <w:pPr>
              <w:overflowPunct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18 599 716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8C48" w14:textId="77777777" w:rsidR="002E1845" w:rsidRDefault="00647FC7">
            <w:pPr>
              <w:overflowPunct w:val="0"/>
              <w:ind w:firstLine="57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13 705 837</w:t>
            </w:r>
          </w:p>
        </w:tc>
      </w:tr>
    </w:tbl>
    <w:p w14:paraId="4642CDAD" w14:textId="77777777" w:rsidR="002E1845" w:rsidRDefault="002E1845">
      <w:pPr>
        <w:overflowPunct w:val="0"/>
        <w:jc w:val="both"/>
        <w:textAlignment w:val="baseline"/>
        <w:rPr>
          <w:sz w:val="22"/>
          <w:szCs w:val="22"/>
        </w:rPr>
      </w:pPr>
    </w:p>
    <w:p w14:paraId="1C63341D" w14:textId="08C18808" w:rsidR="002E1845" w:rsidRDefault="00647FC7" w:rsidP="00647FC7">
      <w:pPr>
        <w:tabs>
          <w:tab w:val="left" w:pos="7088"/>
        </w:tabs>
        <w:overflowPunct w:val="0"/>
        <w:jc w:val="center"/>
        <w:textAlignment w:val="baseline"/>
      </w:pPr>
      <w:r>
        <w:rPr>
          <w:szCs w:val="24"/>
        </w:rPr>
        <w:t>____________________________</w:t>
      </w:r>
    </w:p>
    <w:p w14:paraId="17C369A6" w14:textId="77777777" w:rsidR="002E1845" w:rsidRDefault="00647FC7">
      <w:pPr>
        <w:overflowPunct w:val="0"/>
        <w:spacing w:line="360" w:lineRule="auto"/>
        <w:jc w:val="both"/>
        <w:textAlignment w:val="baseline"/>
      </w:pPr>
    </w:p>
    <w:sectPr w:rsidR="002E1845">
      <w:pgSz w:w="11907" w:h="16840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84022" w14:textId="77777777" w:rsidR="002E1845" w:rsidRDefault="00647FC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00598F7C" w14:textId="77777777" w:rsidR="002E1845" w:rsidRDefault="00647FC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6A51" w14:textId="77777777" w:rsidR="002E1845" w:rsidRDefault="002E184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6A52" w14:textId="77777777" w:rsidR="002E1845" w:rsidRDefault="002E184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6A54" w14:textId="77777777" w:rsidR="002E1845" w:rsidRDefault="002E184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0681" w14:textId="77777777" w:rsidR="002E1845" w:rsidRDefault="00647FC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0A8AD27C" w14:textId="77777777" w:rsidR="002E1845" w:rsidRDefault="00647FC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6A4F" w14:textId="77777777" w:rsidR="002E1845" w:rsidRDefault="002E184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05188" w14:textId="4FFE23C4" w:rsidR="002E1845" w:rsidRDefault="00647FC7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t>2</w:t>
    </w:r>
  </w:p>
  <w:p w14:paraId="17C36A50" w14:textId="77777777" w:rsidR="002E1845" w:rsidRDefault="002E184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6A53" w14:textId="77777777" w:rsidR="002E1845" w:rsidRDefault="002E184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88"/>
    <w:rsid w:val="002E1845"/>
    <w:rsid w:val="00343B88"/>
    <w:rsid w:val="006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C36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3879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2020-10-22T11:21:00Z</dcterms:created>
  <dcterms:modified xsi:type="dcterms:W3CDTF">2020-10-22T12:19:00Z</dcterms:modified>
  <revision>1</revision>
</coreProperties>
</file>