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65D0" w14:textId="77777777" w:rsidR="00F608D1" w:rsidRDefault="00F608D1">
      <w:pPr>
        <w:tabs>
          <w:tab w:val="center" w:pos="4252"/>
          <w:tab w:val="right" w:pos="8504"/>
        </w:tabs>
        <w:overflowPunct w:val="0"/>
        <w:textAlignment w:val="baseline"/>
        <w:rPr>
          <w:rFonts w:ascii="Arial" w:hAnsi="Arial"/>
          <w:sz w:val="20"/>
          <w:lang w:val="en-GB"/>
        </w:rPr>
      </w:pPr>
    </w:p>
    <w:p w14:paraId="673E5573" w14:textId="0986793A" w:rsidR="00F608D1" w:rsidRDefault="001C43F3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  <w:r>
        <w:rPr>
          <w:sz w:val="20"/>
          <w:lang w:val="en-GB"/>
        </w:rPr>
        <w:object w:dxaOrig="4534" w:dyaOrig="2214" w14:anchorId="673E5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513678500" r:id="rId9"/>
        </w:object>
      </w:r>
    </w:p>
    <w:p w14:paraId="673E5574" w14:textId="77777777" w:rsidR="00F608D1" w:rsidRDefault="00F608D1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</w:p>
    <w:p w14:paraId="673E5575" w14:textId="77777777" w:rsidR="00F608D1" w:rsidRDefault="001C43F3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6"/>
          <w:szCs w:val="26"/>
          <w:lang w:val="en-GB"/>
        </w:rPr>
      </w:pPr>
      <w:r>
        <w:rPr>
          <w:b/>
          <w:bCs/>
          <w:spacing w:val="20"/>
          <w:sz w:val="26"/>
          <w:szCs w:val="26"/>
          <w:lang w:val="en-GB"/>
        </w:rPr>
        <w:t>CIVILINĖS AVIACIJOS ADMINISTRACIJOS</w:t>
      </w:r>
    </w:p>
    <w:p w14:paraId="673E5576" w14:textId="77777777" w:rsidR="00F608D1" w:rsidRDefault="001C43F3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673E5577" w14:textId="77777777" w:rsidR="00F608D1" w:rsidRDefault="00F608D1">
      <w:pPr>
        <w:rPr>
          <w:sz w:val="20"/>
          <w:szCs w:val="24"/>
        </w:rPr>
      </w:pPr>
    </w:p>
    <w:p w14:paraId="673E5578" w14:textId="77777777" w:rsidR="00F608D1" w:rsidRDefault="00F608D1">
      <w:pPr>
        <w:rPr>
          <w:sz w:val="20"/>
          <w:szCs w:val="24"/>
        </w:rPr>
      </w:pPr>
    </w:p>
    <w:p w14:paraId="673E5579" w14:textId="77777777" w:rsidR="00F608D1" w:rsidRDefault="00F608D1">
      <w:pPr>
        <w:rPr>
          <w:sz w:val="20"/>
          <w:szCs w:val="24"/>
        </w:rPr>
      </w:pPr>
    </w:p>
    <w:p w14:paraId="6D694741" w14:textId="77777777" w:rsidR="00F608D1" w:rsidRDefault="001C43F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ADF8691" w14:textId="77777777" w:rsidR="00F608D1" w:rsidRDefault="001C43F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CIVILINĖS AVIACIJOS ADMINISTRACIJOS DIREKTORIAUS 2015 M. BIRŽELIO 1 D. ĮSAKYMO NR. </w:t>
      </w:r>
      <w:r>
        <w:rPr>
          <w:b/>
          <w:bCs/>
          <w:szCs w:val="24"/>
        </w:rPr>
        <w:t>4R-100 „DĖL VEŽĖJO PAŽYMĖJIMO IŠDAVIMO TVARKOS APRAŠO PATVIRTINIMO“ PAKEITIMO</w:t>
      </w:r>
    </w:p>
    <w:p w14:paraId="673E557D" w14:textId="77777777" w:rsidR="00F608D1" w:rsidRDefault="00F608D1">
      <w:pPr>
        <w:rPr>
          <w:szCs w:val="24"/>
        </w:rPr>
      </w:pPr>
    </w:p>
    <w:p w14:paraId="673E557E" w14:textId="77777777" w:rsidR="00F608D1" w:rsidRDefault="00F608D1">
      <w:pPr>
        <w:rPr>
          <w:szCs w:val="24"/>
        </w:rPr>
      </w:pPr>
    </w:p>
    <w:p w14:paraId="3746FAD9" w14:textId="0ACF3628" w:rsidR="00F608D1" w:rsidRDefault="001C43F3">
      <w:pPr>
        <w:tabs>
          <w:tab w:val="left" w:pos="4608"/>
          <w:tab w:val="left" w:pos="5328"/>
        </w:tabs>
        <w:jc w:val="center"/>
        <w:rPr>
          <w:szCs w:val="24"/>
        </w:rPr>
      </w:pPr>
      <w:r>
        <w:rPr>
          <w:szCs w:val="24"/>
        </w:rPr>
        <w:t>2015 m. gruodžio 31 d. Nr. 4R-224</w:t>
      </w:r>
    </w:p>
    <w:p w14:paraId="391220A3" w14:textId="77777777" w:rsidR="00F608D1" w:rsidRDefault="001C43F3">
      <w:pPr>
        <w:jc w:val="center"/>
        <w:rPr>
          <w:szCs w:val="24"/>
        </w:rPr>
      </w:pPr>
      <w:r>
        <w:rPr>
          <w:szCs w:val="24"/>
        </w:rPr>
        <w:t>Vilnius</w:t>
      </w:r>
    </w:p>
    <w:p w14:paraId="673E5585" w14:textId="77777777" w:rsidR="00F608D1" w:rsidRDefault="00F608D1">
      <w:pPr>
        <w:rPr>
          <w:szCs w:val="24"/>
        </w:rPr>
      </w:pPr>
    </w:p>
    <w:p w14:paraId="673E5586" w14:textId="77777777" w:rsidR="00F608D1" w:rsidRDefault="00F608D1">
      <w:pPr>
        <w:jc w:val="both"/>
        <w:rPr>
          <w:szCs w:val="24"/>
        </w:rPr>
      </w:pPr>
    </w:p>
    <w:p w14:paraId="673E5587" w14:textId="25747CC6" w:rsidR="00F608D1" w:rsidRDefault="00F608D1">
      <w:pPr>
        <w:spacing w:line="360" w:lineRule="auto"/>
        <w:ind w:firstLine="720"/>
        <w:jc w:val="both"/>
        <w:rPr>
          <w:szCs w:val="24"/>
        </w:rPr>
      </w:pPr>
    </w:p>
    <w:p w14:paraId="673E5588" w14:textId="3BBDD8F9" w:rsidR="00F608D1" w:rsidRDefault="001C43F3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P a k e i č i u Vežėjo pažymėjimo išdavimo tvarkos aprašą, patvirtintą Civilinės aviacijos administracijos direktoriaus 2015 m. birželio 1 d. įsakymu Nr. 4R-100 „Dėl vežėjo pažymėjimo išdavimo tvarkos aprašo patvirtinimo“: </w:t>
      </w:r>
    </w:p>
    <w:p w14:paraId="673E5589" w14:textId="409A412A" w:rsidR="00F608D1" w:rsidRDefault="001C43F3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Pakeičiu 58 punktą ir jį </w:t>
      </w:r>
      <w:r>
        <w:rPr>
          <w:szCs w:val="24"/>
        </w:rPr>
        <w:t>išdėstau taip:</w:t>
      </w:r>
    </w:p>
    <w:p w14:paraId="673E558A" w14:textId="347192D4" w:rsidR="00F608D1" w:rsidRDefault="001C43F3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58</w:t>
      </w:r>
      <w:r>
        <w:rPr>
          <w:szCs w:val="24"/>
        </w:rPr>
        <w:t>. Vežėjo veiklos patikrinimų metu ar kitais būdais nustatyti saugos trūkumai skirstomi į 1 arba 2 lygio trūkumus.“</w:t>
      </w:r>
    </w:p>
    <w:p w14:paraId="673E558B" w14:textId="600F3D6D" w:rsidR="00F608D1" w:rsidRDefault="001C43F3">
      <w:pPr>
        <w:tabs>
          <w:tab w:val="left" w:pos="567"/>
          <w:tab w:val="left" w:pos="1134"/>
        </w:tabs>
        <w:spacing w:line="360" w:lineRule="auto"/>
        <w:ind w:left="142" w:firstLine="425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Pakeičiu 65 punktą ir jį išdėstau taip:</w:t>
      </w:r>
    </w:p>
    <w:p w14:paraId="7C38D02A" w14:textId="5F1BB99B" w:rsidR="00F608D1" w:rsidRDefault="001C43F3" w:rsidP="001C43F3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65</w:t>
      </w:r>
      <w:r>
        <w:rPr>
          <w:szCs w:val="24"/>
        </w:rPr>
        <w:t>. Jeigu keičiasi vežėjo pažymėjime įrašyti duomenys, kurių pasike</w:t>
      </w:r>
      <w:r>
        <w:rPr>
          <w:szCs w:val="24"/>
        </w:rPr>
        <w:t>itimas neturi įtakos vežėjo teisėms ir įsipareigojimams (pasikeičia vežėjo adresas, vežėjo kontaktiniai duomenys arba vežėjas prašo išbraukti orlaivį iš VPP), vežėjas nedelsia ir ne vėliau kaip per 3 darbo dienas nuo duomenų pasikeitimo pateikia CAA prašym</w:t>
      </w:r>
      <w:r>
        <w:rPr>
          <w:szCs w:val="24"/>
        </w:rPr>
        <w:t>ą pakeisti vežėjo pažymėjimą ir pasikeitimą patvirtinančių dokumentų kopijas. CAA direktorius per 3 darbo dienas nuo visų reikiamų dokumentų ir duomenų pateikimo dienos priima sprendimą dėl vežėjo pažymėjimo keitimo ir apie tai nedelsdamas informuoja vežėj</w:t>
      </w:r>
      <w:r>
        <w:rPr>
          <w:szCs w:val="24"/>
        </w:rPr>
        <w:t>ą.</w:t>
      </w:r>
    </w:p>
    <w:p w14:paraId="02B201A2" w14:textId="77777777" w:rsidR="001C43F3" w:rsidRDefault="001C43F3" w:rsidP="001C43F3">
      <w:pPr>
        <w:tabs>
          <w:tab w:val="left" w:pos="3811"/>
          <w:tab w:val="left" w:pos="6090"/>
        </w:tabs>
        <w:ind w:left="108" w:right="-85"/>
      </w:pPr>
    </w:p>
    <w:p w14:paraId="3DBC30D3" w14:textId="77777777" w:rsidR="001C43F3" w:rsidRDefault="001C43F3" w:rsidP="001C43F3">
      <w:pPr>
        <w:tabs>
          <w:tab w:val="left" w:pos="3811"/>
          <w:tab w:val="left" w:pos="6090"/>
        </w:tabs>
        <w:ind w:left="108" w:right="-85"/>
      </w:pPr>
    </w:p>
    <w:p w14:paraId="77A9F54C" w14:textId="77777777" w:rsidR="001C43F3" w:rsidRDefault="001C43F3" w:rsidP="001C43F3">
      <w:pPr>
        <w:tabs>
          <w:tab w:val="left" w:pos="3811"/>
          <w:tab w:val="left" w:pos="6090"/>
        </w:tabs>
        <w:ind w:left="108" w:right="-85"/>
      </w:pPr>
    </w:p>
    <w:p w14:paraId="673E5597" w14:textId="01F561F9" w:rsidR="00F608D1" w:rsidRDefault="001C43F3" w:rsidP="001C43F3">
      <w:pPr>
        <w:tabs>
          <w:tab w:val="left" w:pos="3811"/>
          <w:tab w:val="left" w:pos="6090"/>
        </w:tabs>
        <w:ind w:left="108" w:right="-85"/>
        <w:rPr>
          <w:szCs w:val="24"/>
        </w:rPr>
      </w:pPr>
      <w:bookmarkStart w:id="0" w:name="_GoBack"/>
      <w:bookmarkEnd w:id="0"/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Joris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Gintilas</w:t>
      </w:r>
      <w:proofErr w:type="spellEnd"/>
    </w:p>
    <w:p w14:paraId="673E5598" w14:textId="4147BE97" w:rsidR="00F608D1" w:rsidRDefault="001C43F3">
      <w:pPr>
        <w:jc w:val="center"/>
        <w:rPr>
          <w:szCs w:val="24"/>
        </w:rPr>
      </w:pPr>
    </w:p>
    <w:sectPr w:rsidR="00F60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568" w:left="1701" w:header="113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559C" w14:textId="77777777" w:rsidR="00F608D1" w:rsidRDefault="001C43F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73E559D" w14:textId="77777777" w:rsidR="00F608D1" w:rsidRDefault="001C43F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55A2" w14:textId="77777777" w:rsidR="00F608D1" w:rsidRDefault="00F608D1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55A3" w14:textId="77777777" w:rsidR="00F608D1" w:rsidRDefault="00F608D1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55A5" w14:textId="77777777" w:rsidR="00F608D1" w:rsidRDefault="00F608D1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559A" w14:textId="77777777" w:rsidR="00F608D1" w:rsidRDefault="001C43F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73E559B" w14:textId="77777777" w:rsidR="00F608D1" w:rsidRDefault="001C43F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559E" w14:textId="77777777" w:rsidR="00F608D1" w:rsidRDefault="00F608D1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F608D1" w14:paraId="673E55A0" w14:textId="77777777">
      <w:trPr>
        <w:cantSplit/>
      </w:trPr>
      <w:tc>
        <w:tcPr>
          <w:tcW w:w="9639" w:type="dxa"/>
        </w:tcPr>
        <w:p w14:paraId="673E559F" w14:textId="77777777" w:rsidR="00F608D1" w:rsidRDefault="001C43F3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2 </w:t>
          </w:r>
          <w:r>
            <w:rPr>
              <w:bCs/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1 </w:t>
          </w:r>
        </w:p>
      </w:tc>
    </w:tr>
  </w:tbl>
  <w:p w14:paraId="673E55A1" w14:textId="77777777" w:rsidR="00F608D1" w:rsidRDefault="00F608D1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55A4" w14:textId="77777777" w:rsidR="00F608D1" w:rsidRDefault="00F608D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6D77"/>
    <w:rsid w:val="001C43F3"/>
    <w:rsid w:val="00F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73E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43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43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1374</CharactersWithSpaces>
  <SharedDoc>false</SharedDoc>
  <HyperlinkBase/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http://www3.lrs.lt/pls/inter/dokpaieska.showdoc_l?p_id=266481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2016-01-07T11:22:00Z</dcterms:created>
  <dc:creator>Jolanta</dc:creator>
  <lastModifiedBy>LAUKIONYTĖ Irena</lastModifiedBy>
  <lastPrinted>2015-12-31T11:20:00Z</lastPrinted>
  <dcterms:modified xsi:type="dcterms:W3CDTF">2016-01-07T11:29:00Z</dcterms:modified>
  <revision>3</revision>
  <dc:title>CAA blankas</dc:title>
</coreProperties>
</file>