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c6bedfd218694281870a3fd1a3f260ae"/>
        <w:id w:val="386304450"/>
        <w:lock w:val="sdtLocked"/>
      </w:sdtPr>
      <w:sdtEndPr/>
      <w:sdtContent>
        <w:p w14:paraId="60308847" w14:textId="4D3892CD" w:rsidR="00E8392C" w:rsidRDefault="00E8392C" w:rsidP="00D336F0">
          <w:pPr>
            <w:tabs>
              <w:tab w:val="center" w:pos="4153"/>
              <w:tab w:val="right" w:pos="8306"/>
            </w:tabs>
            <w:rPr>
              <w:lang w:eastAsia="lt-LT"/>
            </w:rPr>
          </w:pPr>
        </w:p>
        <w:p w14:paraId="60308848" w14:textId="77777777" w:rsidR="00E8392C" w:rsidRDefault="00D336F0">
          <w:pPr>
            <w:jc w:val="center"/>
            <w:rPr>
              <w:lang w:eastAsia="lt-LT"/>
            </w:rPr>
          </w:pPr>
          <w:r>
            <w:rPr>
              <w:noProof/>
              <w:lang w:eastAsia="lt-LT"/>
            </w:rPr>
            <w:drawing>
              <wp:inline distT="0" distB="0" distL="0" distR="0" wp14:anchorId="6030894B" wp14:editId="6030894C">
                <wp:extent cx="593090" cy="630555"/>
                <wp:effectExtent l="0" t="0" r="0" b="0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0308849" w14:textId="77777777" w:rsidR="00E8392C" w:rsidRDefault="00D336F0">
          <w:pPr>
            <w:jc w:val="center"/>
            <w:rPr>
              <w:b/>
              <w:lang w:eastAsia="lt-LT"/>
            </w:rPr>
          </w:pPr>
          <w:r>
            <w:rPr>
              <w:b/>
              <w:lang w:eastAsia="lt-LT"/>
            </w:rPr>
            <w:t>LIETUVOS RESPUBLIKOS FINANSŲ MINISTRAS</w:t>
          </w:r>
        </w:p>
        <w:p w14:paraId="6030884A" w14:textId="77777777" w:rsidR="00E8392C" w:rsidRDefault="00E8392C">
          <w:pPr>
            <w:jc w:val="center"/>
            <w:rPr>
              <w:b/>
              <w:lang w:eastAsia="lt-LT"/>
            </w:rPr>
          </w:pPr>
        </w:p>
        <w:p w14:paraId="6030884B" w14:textId="77777777" w:rsidR="00E8392C" w:rsidRDefault="00D336F0">
          <w:pPr>
            <w:jc w:val="center"/>
            <w:rPr>
              <w:b/>
              <w:lang w:eastAsia="lt-LT"/>
            </w:rPr>
          </w:pPr>
          <w:r>
            <w:rPr>
              <w:b/>
              <w:lang w:eastAsia="lt-LT"/>
            </w:rPr>
            <w:t>ĮSAKYMAS</w:t>
          </w:r>
        </w:p>
        <w:p w14:paraId="6030884C" w14:textId="77777777" w:rsidR="00E8392C" w:rsidRDefault="00D336F0">
          <w:pPr>
            <w:jc w:val="center"/>
            <w:rPr>
              <w:lang w:eastAsia="lt-LT"/>
            </w:rPr>
          </w:pPr>
          <w:r>
            <w:rPr>
              <w:b/>
              <w:lang w:eastAsia="lt-LT"/>
            </w:rPr>
            <w:t xml:space="preserve">DĖL </w:t>
          </w:r>
          <w:r>
            <w:rPr>
              <w:b/>
              <w:szCs w:val="24"/>
              <w:lang w:eastAsia="lt-LT"/>
            </w:rPr>
            <w:t>2014 METŲ KONSOLIDAVIMO KALENDORIAUS PATVIRTINIMO</w:t>
          </w:r>
        </w:p>
        <w:p w14:paraId="6030884D" w14:textId="77777777" w:rsidR="00E8392C" w:rsidRDefault="00E8392C">
          <w:pPr>
            <w:jc w:val="center"/>
            <w:rPr>
              <w:lang w:eastAsia="lt-LT"/>
            </w:rPr>
          </w:pPr>
        </w:p>
        <w:p w14:paraId="6030884F" w14:textId="77777777" w:rsidR="00E8392C" w:rsidRDefault="00D336F0">
          <w:pPr>
            <w:jc w:val="center"/>
            <w:rPr>
              <w:lang w:eastAsia="lt-LT"/>
            </w:rPr>
          </w:pPr>
          <w:r>
            <w:rPr>
              <w:lang w:eastAsia="lt-LT"/>
            </w:rPr>
            <w:t xml:space="preserve">2014 m. gruodžio 31 d. Nr. </w:t>
          </w:r>
          <w:r>
            <w:rPr>
              <w:szCs w:val="24"/>
              <w:lang w:eastAsia="lt-LT"/>
            </w:rPr>
            <w:t>1K-504</w:t>
          </w:r>
          <w:r>
            <w:rPr>
              <w:lang w:eastAsia="lt-LT"/>
            </w:rPr>
            <w:t xml:space="preserve"> </w:t>
          </w:r>
        </w:p>
        <w:p w14:paraId="60308850" w14:textId="77777777" w:rsidR="00E8392C" w:rsidRDefault="00D336F0">
          <w:pPr>
            <w:jc w:val="center"/>
            <w:rPr>
              <w:lang w:eastAsia="lt-LT"/>
            </w:rPr>
          </w:pPr>
          <w:r>
            <w:rPr>
              <w:lang w:eastAsia="lt-LT"/>
            </w:rPr>
            <w:t>Vilnius</w:t>
          </w:r>
        </w:p>
        <w:p w14:paraId="60308851" w14:textId="77777777" w:rsidR="00E8392C" w:rsidRDefault="00E8392C">
          <w:pPr>
            <w:jc w:val="center"/>
            <w:rPr>
              <w:lang w:eastAsia="lt-LT"/>
            </w:rPr>
          </w:pPr>
        </w:p>
        <w:p w14:paraId="0BA13263" w14:textId="77777777" w:rsidR="00D336F0" w:rsidRDefault="00D336F0">
          <w:pPr>
            <w:jc w:val="center"/>
            <w:rPr>
              <w:lang w:eastAsia="lt-LT"/>
            </w:rPr>
          </w:pPr>
        </w:p>
        <w:sdt>
          <w:sdtPr>
            <w:alias w:val="preambule"/>
            <w:tag w:val="part_7e16ee22e41943be8511d4a750a84cbb"/>
            <w:id w:val="2051104257"/>
            <w:lock w:val="sdtLocked"/>
          </w:sdtPr>
          <w:sdtEndPr/>
          <w:sdtContent>
            <w:p w14:paraId="60308852" w14:textId="77777777" w:rsidR="00E8392C" w:rsidRDefault="00D336F0">
              <w:pPr>
                <w:ind w:firstLine="567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 xml:space="preserve">Vadovaudamasis Lietuvos Respublikos Vyriausybės </w:t>
              </w:r>
              <w:smartTag w:uri="urn:schemas-microsoft-com:office:smarttags" w:element="date">
                <w:smartTagPr>
                  <w:attr w:name="ls" w:val="trans"/>
                  <w:attr w:name="Month" w:val="7"/>
                  <w:attr w:name="Day" w:val="16"/>
                  <w:attr w:name="Year" w:val="2008"/>
                </w:smartTagPr>
                <w:smartTag w:uri="urn:schemas-microsoft-com:office:smarttags" w:element="metricconverter">
                  <w:smartTagPr>
                    <w:attr w:name="ProductID" w:val="2008 m"/>
                  </w:smartTagPr>
                  <w:r>
                    <w:rPr>
                      <w:szCs w:val="24"/>
                      <w:lang w:eastAsia="lt-LT"/>
                    </w:rPr>
                    <w:t>2008 m</w:t>
                  </w:r>
                </w:smartTag>
                <w:r>
                  <w:rPr>
                    <w:szCs w:val="24"/>
                    <w:lang w:eastAsia="lt-LT"/>
                  </w:rPr>
                  <w:t>. liepos 16 d.</w:t>
                </w:r>
              </w:smartTag>
              <w:r>
                <w:rPr>
                  <w:szCs w:val="24"/>
                  <w:lang w:eastAsia="lt-LT"/>
                </w:rPr>
                <w:t xml:space="preserve"> nutarimo Nr. 730 „Dėl Lietuvos Respublikos viešojo sektoriaus subjektų grupių finansinėms ataskaitoms konsoliduoti sudėties, lygių, konsoliduotųjų finansinių ataskaitų rinkinių rengimo tvarkos ir už jų parengimą atsakingų viešojo sektoriaus subjektų nusta</w:t>
              </w:r>
              <w:r>
                <w:rPr>
                  <w:szCs w:val="24"/>
                  <w:lang w:eastAsia="lt-LT"/>
                </w:rPr>
                <w:t>tymo“ 2.8 papunkčiu:</w:t>
              </w:r>
            </w:p>
          </w:sdtContent>
        </w:sdt>
        <w:sdt>
          <w:sdtPr>
            <w:alias w:val="1 p."/>
            <w:tag w:val="part_4327bbe811ec482187f0cd885a99d7d8"/>
            <w:id w:val="-1248256013"/>
            <w:lock w:val="sdtLocked"/>
          </w:sdtPr>
          <w:sdtEndPr/>
          <w:sdtContent>
            <w:p w14:paraId="60308853" w14:textId="77777777" w:rsidR="00E8392C" w:rsidRDefault="00D336F0">
              <w:pPr>
                <w:ind w:firstLine="567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4327bbe811ec482187f0cd885a99d7d8"/>
                  <w:id w:val="-1470509258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1</w:t>
                  </w:r>
                </w:sdtContent>
              </w:sdt>
              <w:r>
                <w:rPr>
                  <w:szCs w:val="24"/>
                </w:rPr>
                <w:t>. T v i r t i n u 2014 metų Konsolidavimo kalendorių (pridedama).</w:t>
              </w:r>
            </w:p>
          </w:sdtContent>
        </w:sdt>
        <w:sdt>
          <w:sdtPr>
            <w:alias w:val="2 p."/>
            <w:tag w:val="part_98e223c5dc2c4953a29800e7271e8686"/>
            <w:id w:val="1997538619"/>
            <w:lock w:val="sdtLocked"/>
          </w:sdtPr>
          <w:sdtEndPr/>
          <w:sdtContent>
            <w:p w14:paraId="6030885B" w14:textId="4216BF81" w:rsidR="00E8392C" w:rsidRDefault="00D336F0" w:rsidP="00D336F0">
              <w:pPr>
                <w:ind w:firstLine="567"/>
                <w:jc w:val="both"/>
                <w:rPr>
                  <w:lang w:eastAsia="lt-LT"/>
                </w:rPr>
              </w:pPr>
              <w:sdt>
                <w:sdtPr>
                  <w:alias w:val="Numeris"/>
                  <w:tag w:val="nr_98e223c5dc2c4953a29800e7271e8686"/>
                  <w:id w:val="9417199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/>
                    </w:rPr>
                    <w:t>2</w:t>
                  </w:r>
                </w:sdtContent>
              </w:sdt>
              <w:r>
                <w:rPr>
                  <w:szCs w:val="24"/>
                  <w:lang w:eastAsia="lt-LT"/>
                </w:rPr>
                <w:t>. N u s t a t a u, kad 2014 metų Konsolidavimo kalendoriumi vadovaujasi viešojo sektoriaus subjektai, teikiantys informaciją 2014 metų konsoliduotųjų finansini</w:t>
              </w:r>
              <w:r>
                <w:rPr>
                  <w:szCs w:val="24"/>
                  <w:lang w:eastAsia="lt-LT"/>
                </w:rPr>
                <w:t>ų ataskaitų rinkiniams parengti į Viešojo sektoriaus apskaitos ir ataskaitų konsolidavimo informacinę sistemą.</w:t>
              </w:r>
            </w:p>
          </w:sdtContent>
        </w:sdt>
        <w:sdt>
          <w:sdtPr>
            <w:alias w:val="signatura"/>
            <w:tag w:val="part_e368d4f98742436fa46764fb1d82fa0e"/>
            <w:id w:val="34783085"/>
            <w:lock w:val="sdtLocked"/>
          </w:sdtPr>
          <w:sdtEndPr/>
          <w:sdtContent>
            <w:p w14:paraId="64C09862" w14:textId="77777777" w:rsidR="00D336F0" w:rsidRDefault="00D336F0"/>
            <w:p w14:paraId="41FA2EA6" w14:textId="77777777" w:rsidR="00D336F0" w:rsidRDefault="00D336F0"/>
            <w:p w14:paraId="35DC6BCC" w14:textId="77777777" w:rsidR="00D336F0" w:rsidRDefault="00D336F0"/>
            <w:p w14:paraId="6030885C" w14:textId="4BA2DCB7" w:rsidR="00E8392C" w:rsidRDefault="00D336F0">
              <w:pPr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Finansų ministras</w:t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  <w:t xml:space="preserve">Rimantas </w:t>
              </w:r>
              <w:proofErr w:type="spellStart"/>
              <w:r>
                <w:rPr>
                  <w:szCs w:val="24"/>
                  <w:lang w:eastAsia="lt-LT"/>
                </w:rPr>
                <w:t>Šadžius</w:t>
              </w:r>
              <w:proofErr w:type="spellEnd"/>
            </w:p>
            <w:p w14:paraId="60308873" w14:textId="77777777" w:rsidR="00E8392C" w:rsidRDefault="00E8392C">
              <w:pPr>
                <w:ind w:firstLine="720"/>
                <w:rPr>
                  <w:lang w:eastAsia="lt-LT"/>
                </w:rPr>
              </w:pPr>
            </w:p>
            <w:p w14:paraId="60FB36C7" w14:textId="77777777" w:rsidR="00D336F0" w:rsidRDefault="00D336F0">
              <w:pPr>
                <w:ind w:firstLine="720"/>
                <w:rPr>
                  <w:lang w:eastAsia="lt-LT"/>
                </w:rPr>
                <w:sectPr w:rsidR="00D336F0">
                  <w:headerReference w:type="even" r:id="rId9"/>
                  <w:headerReference w:type="default" r:id="rId10"/>
                  <w:footerReference w:type="even" r:id="rId11"/>
                  <w:footerReference w:type="default" r:id="rId12"/>
                  <w:headerReference w:type="first" r:id="rId13"/>
                  <w:footerReference w:type="first" r:id="rId14"/>
                  <w:type w:val="continuous"/>
                  <w:pgSz w:w="11906" w:h="16838" w:code="9"/>
                  <w:pgMar w:top="993" w:right="567" w:bottom="993" w:left="1701" w:header="560" w:footer="686" w:gutter="0"/>
                  <w:cols w:space="1296"/>
                  <w:formProt w:val="0"/>
                  <w:titlePg/>
                </w:sectPr>
              </w:pPr>
            </w:p>
            <w:p w14:paraId="60308874" w14:textId="5516A66B" w:rsidR="00E8392C" w:rsidRDefault="00D336F0">
              <w:pPr>
                <w:ind w:firstLine="720"/>
                <w:rPr>
                  <w:lang w:eastAsia="lt-LT"/>
                </w:rPr>
              </w:pPr>
            </w:p>
          </w:sdtContent>
        </w:sdt>
      </w:sdtContent>
    </w:sdt>
    <w:sdt>
      <w:sdtPr>
        <w:alias w:val="patvirtinta"/>
        <w:tag w:val="part_60a9396c74ef45429051dfe321d33dd3"/>
        <w:id w:val="1713534346"/>
        <w:lock w:val="sdtLocked"/>
      </w:sdtPr>
      <w:sdtEndPr/>
      <w:sdtContent>
        <w:p w14:paraId="60308875" w14:textId="77777777" w:rsidR="00E8392C" w:rsidRDefault="00D336F0">
          <w:pPr>
            <w:ind w:left="4320" w:firstLine="720"/>
            <w:rPr>
              <w:lang w:eastAsia="lt-LT"/>
            </w:rPr>
          </w:pPr>
          <w:r>
            <w:rPr>
              <w:lang w:eastAsia="lt-LT"/>
            </w:rPr>
            <w:t>PATVIRTINTA</w:t>
          </w:r>
        </w:p>
        <w:p w14:paraId="60308876" w14:textId="77777777" w:rsidR="00E8392C" w:rsidRDefault="00D336F0">
          <w:pPr>
            <w:ind w:left="4320" w:firstLine="720"/>
            <w:rPr>
              <w:lang w:eastAsia="lt-LT"/>
            </w:rPr>
          </w:pPr>
          <w:r>
            <w:rPr>
              <w:lang w:eastAsia="lt-LT"/>
            </w:rPr>
            <w:t>Lietuvos Respublikos finansų ministro</w:t>
          </w:r>
        </w:p>
        <w:p w14:paraId="60308877" w14:textId="77777777" w:rsidR="00E8392C" w:rsidRDefault="00D336F0">
          <w:pPr>
            <w:ind w:left="5040"/>
            <w:rPr>
              <w:lang w:eastAsia="lt-LT"/>
            </w:rPr>
          </w:pPr>
          <w:r>
            <w:rPr>
              <w:lang w:eastAsia="lt-LT"/>
            </w:rPr>
            <w:t xml:space="preserve">2014 m. </w:t>
          </w:r>
          <w:r>
            <w:rPr>
              <w:lang w:eastAsia="lt-LT"/>
            </w:rPr>
            <w:t>gruodžio 31 d. įsakymu Nr. 1K-504</w:t>
          </w:r>
        </w:p>
        <w:p w14:paraId="6030887A" w14:textId="77777777" w:rsidR="00E8392C" w:rsidRDefault="00E8392C">
          <w:pPr>
            <w:ind w:left="5040"/>
            <w:rPr>
              <w:lang w:eastAsia="lt-LT"/>
            </w:rPr>
          </w:pPr>
        </w:p>
        <w:p w14:paraId="6030887B" w14:textId="77777777" w:rsidR="00E8392C" w:rsidRDefault="00E8392C">
          <w:pPr>
            <w:ind w:left="5040"/>
            <w:rPr>
              <w:lang w:eastAsia="lt-LT"/>
            </w:rPr>
          </w:pPr>
        </w:p>
        <w:p w14:paraId="6030887C" w14:textId="77777777" w:rsidR="00E8392C" w:rsidRDefault="00E8392C">
          <w:pPr>
            <w:ind w:left="5040"/>
            <w:rPr>
              <w:lang w:eastAsia="lt-LT"/>
            </w:rPr>
          </w:pPr>
        </w:p>
        <w:tbl>
          <w:tblPr>
            <w:tblW w:w="10408" w:type="dxa"/>
            <w:jc w:val="center"/>
            <w:tblInd w:w="-588" w:type="dxa"/>
            <w:tblLayout w:type="fixed"/>
            <w:tblLook w:val="0000" w:firstRow="0" w:lastRow="0" w:firstColumn="0" w:lastColumn="0" w:noHBand="0" w:noVBand="0"/>
          </w:tblPr>
          <w:tblGrid>
            <w:gridCol w:w="542"/>
            <w:gridCol w:w="1843"/>
            <w:gridCol w:w="2126"/>
            <w:gridCol w:w="1701"/>
            <w:gridCol w:w="1701"/>
            <w:gridCol w:w="1276"/>
            <w:gridCol w:w="1219"/>
          </w:tblGrid>
          <w:tr w:rsidR="00E8392C" w14:paraId="60308880" w14:textId="77777777">
            <w:trPr>
              <w:trHeight w:val="315"/>
              <w:jc w:val="center"/>
            </w:trPr>
            <w:tc>
              <w:tcPr>
                <w:tcW w:w="54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030887D" w14:textId="77777777" w:rsidR="00E8392C" w:rsidRDefault="00E8392C">
                <w:pPr>
                  <w:suppressAutoHyphens/>
                  <w:jc w:val="center"/>
                  <w:rPr>
                    <w:sz w:val="20"/>
                    <w:lang w:eastAsia="ar-SA"/>
                  </w:rPr>
                </w:pPr>
              </w:p>
            </w:tc>
            <w:tc>
              <w:tcPr>
                <w:tcW w:w="9866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sdt>
                <w:sdtPr>
                  <w:rPr>
                    <w:b/>
                    <w:bCs/>
                    <w:lang w:eastAsia="ar-SA"/>
                  </w:rPr>
                  <w:alias w:val="Pavadinimas"/>
                  <w:tag w:val="title_60a9396c74ef45429051dfe321d33dd3"/>
                  <w:id w:val="1687548231"/>
                  <w:lock w:val="sdtLocked"/>
                  <w:placeholder>
                    <w:docPart w:val="DefaultPlaceholder_1082065158"/>
                  </w:placeholder>
                </w:sdtPr>
                <w:sdtContent>
                  <w:p w14:paraId="6030887E" w14:textId="3815AAEB" w:rsidR="00E8392C" w:rsidRDefault="00D336F0">
                    <w:pPr>
                      <w:suppressAutoHyphens/>
                      <w:jc w:val="center"/>
                      <w:rPr>
                        <w:b/>
                        <w:bCs/>
                        <w:lang w:eastAsia="ar-SA"/>
                      </w:rPr>
                    </w:pPr>
                    <w:r>
                      <w:rPr>
                        <w:b/>
                        <w:bCs/>
                        <w:lang w:eastAsia="ar-SA"/>
                      </w:rPr>
                      <w:t>2014 METŲ KONSOLIDAVIMO KALENDORIUS</w:t>
                    </w:r>
                  </w:p>
                </w:sdtContent>
              </w:sdt>
              <w:p w14:paraId="6030887F" w14:textId="77777777" w:rsidR="00E8392C" w:rsidRDefault="00E8392C">
                <w:pPr>
                  <w:suppressAutoHyphens/>
                  <w:jc w:val="center"/>
                  <w:rPr>
                    <w:b/>
                    <w:bCs/>
                    <w:lang w:eastAsia="ar-SA"/>
                  </w:rPr>
                </w:pPr>
              </w:p>
            </w:tc>
          </w:tr>
          <w:tr w:rsidR="00E8392C" w14:paraId="60308888" w14:textId="77777777">
            <w:trPr>
              <w:trHeight w:val="270"/>
              <w:jc w:val="center"/>
            </w:trPr>
            <w:tc>
              <w:tcPr>
                <w:tcW w:w="54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60308881" w14:textId="77777777" w:rsidR="00E8392C" w:rsidRDefault="00E8392C">
                <w:pPr>
                  <w:suppressAutoHyphens/>
                  <w:jc w:val="center"/>
                  <w:rPr>
                    <w:sz w:val="20"/>
                    <w:lang w:eastAsia="ar-SA"/>
                  </w:rPr>
                </w:pPr>
              </w:p>
            </w:tc>
            <w:tc>
              <w:tcPr>
                <w:tcW w:w="18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60308882" w14:textId="77777777" w:rsidR="00E8392C" w:rsidRDefault="00E8392C">
                <w:pPr>
                  <w:suppressAutoHyphens/>
                  <w:rPr>
                    <w:sz w:val="20"/>
                    <w:lang w:eastAsia="ar-SA"/>
                  </w:rPr>
                </w:pPr>
              </w:p>
            </w:tc>
            <w:tc>
              <w:tcPr>
                <w:tcW w:w="21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60308883" w14:textId="77777777" w:rsidR="00E8392C" w:rsidRDefault="00E8392C">
                <w:pPr>
                  <w:suppressAutoHyphens/>
                  <w:rPr>
                    <w:sz w:val="20"/>
                    <w:lang w:eastAsia="ar-SA"/>
                  </w:rPr>
                </w:pPr>
              </w:p>
            </w:tc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60308884" w14:textId="77777777" w:rsidR="00E8392C" w:rsidRDefault="00E8392C">
                <w:pPr>
                  <w:suppressAutoHyphens/>
                  <w:jc w:val="center"/>
                  <w:rPr>
                    <w:sz w:val="20"/>
                    <w:lang w:eastAsia="ar-SA"/>
                  </w:rPr>
                </w:pPr>
              </w:p>
            </w:tc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60308885" w14:textId="77777777" w:rsidR="00E8392C" w:rsidRDefault="00E8392C">
                <w:pPr>
                  <w:suppressAutoHyphens/>
                  <w:jc w:val="center"/>
                  <w:rPr>
                    <w:sz w:val="20"/>
                    <w:lang w:eastAsia="ar-SA"/>
                  </w:rPr>
                </w:pP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60308886" w14:textId="77777777" w:rsidR="00E8392C" w:rsidRDefault="00E8392C">
                <w:pPr>
                  <w:suppressAutoHyphens/>
                  <w:jc w:val="center"/>
                  <w:rPr>
                    <w:sz w:val="20"/>
                    <w:lang w:eastAsia="ar-SA"/>
                  </w:rPr>
                </w:pPr>
              </w:p>
            </w:tc>
            <w:tc>
              <w:tcPr>
                <w:tcW w:w="121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60308887" w14:textId="77777777" w:rsidR="00E8392C" w:rsidRDefault="00E8392C">
                <w:pPr>
                  <w:suppressAutoHyphens/>
                  <w:jc w:val="center"/>
                  <w:rPr>
                    <w:sz w:val="20"/>
                    <w:lang w:eastAsia="ar-SA"/>
                  </w:rPr>
                </w:pPr>
              </w:p>
            </w:tc>
          </w:tr>
          <w:tr w:rsidR="00E8392C" w14:paraId="60308890" w14:textId="77777777">
            <w:trPr>
              <w:trHeight w:val="1781"/>
              <w:jc w:val="center"/>
            </w:trPr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308889" w14:textId="77777777" w:rsidR="00E8392C" w:rsidRDefault="00D336F0">
                <w:pPr>
                  <w:suppressAutoHyphens/>
                  <w:jc w:val="center"/>
                  <w:rPr>
                    <w:b/>
                    <w:bCs/>
                    <w:sz w:val="22"/>
                    <w:szCs w:val="22"/>
                    <w:lang w:eastAsia="ar-SA"/>
                  </w:rPr>
                </w:pPr>
                <w:r>
                  <w:rPr>
                    <w:b/>
                    <w:bCs/>
                    <w:sz w:val="22"/>
                    <w:szCs w:val="22"/>
                    <w:lang w:eastAsia="ar-SA"/>
                  </w:rPr>
                  <w:t>Eil. Nr.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30888A" w14:textId="77777777" w:rsidR="00E8392C" w:rsidRDefault="00D336F0">
                <w:pPr>
                  <w:suppressAutoHyphens/>
                  <w:jc w:val="center"/>
                  <w:rPr>
                    <w:b/>
                    <w:bCs/>
                    <w:sz w:val="22"/>
                    <w:szCs w:val="22"/>
                    <w:lang w:eastAsia="ar-SA"/>
                  </w:rPr>
                </w:pPr>
                <w:r>
                  <w:rPr>
                    <w:b/>
                    <w:bCs/>
                    <w:sz w:val="22"/>
                    <w:szCs w:val="22"/>
                    <w:lang w:eastAsia="ar-SA"/>
                  </w:rPr>
                  <w:t>Darbas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30888B" w14:textId="77777777" w:rsidR="00E8392C" w:rsidRDefault="00D336F0">
                <w:pPr>
                  <w:suppressAutoHyphens/>
                  <w:jc w:val="center"/>
                  <w:rPr>
                    <w:b/>
                    <w:bCs/>
                    <w:sz w:val="22"/>
                    <w:szCs w:val="22"/>
                    <w:lang w:eastAsia="ar-SA"/>
                  </w:rPr>
                </w:pPr>
                <w:r>
                  <w:rPr>
                    <w:b/>
                    <w:bCs/>
                    <w:sz w:val="22"/>
                    <w:szCs w:val="22"/>
                    <w:lang w:eastAsia="ar-SA"/>
                  </w:rPr>
                  <w:t xml:space="preserve">Procedūra pagal Viešojo sektoriaus subjektų finansinių ataskaitų rinkinių konsolidavimo tvarkos aprašą, patvirtintą Lietuvos Respublikos finansų ministro </w:t>
                </w:r>
                <w:smartTag w:uri="urn:schemas-microsoft-com:office:smarttags" w:element="date">
                  <w:smartTagPr>
                    <w:attr w:name="ls" w:val="trans"/>
                    <w:attr w:name="Month" w:val="4"/>
                    <w:attr w:name="Day" w:val="19"/>
                    <w:attr w:name="Year" w:val="2011"/>
                  </w:smartTagPr>
                  <w:smartTag w:uri="urn:schemas-microsoft-com:office:smarttags" w:element="date">
                    <w:smartTagPr>
                      <w:attr w:name="Year" w:val="2011"/>
                      <w:attr w:name="Day" w:val="19"/>
                      <w:attr w:name="Month" w:val="4"/>
                      <w:attr w:name="ls" w:val="trans"/>
                    </w:smartTagPr>
                    <w:smartTag w:uri="urn:schemas-microsoft-com:office:smarttags" w:element="metricconverter">
                      <w:smartTagPr>
                        <w:attr w:name="ProductID" w:val="2011 m"/>
                      </w:smartTagPr>
                      <w:r>
                        <w:rPr>
                          <w:b/>
                          <w:bCs/>
                          <w:sz w:val="22"/>
                          <w:szCs w:val="22"/>
                          <w:lang w:eastAsia="ar-SA"/>
                        </w:rPr>
                        <w:t>2011 m</w:t>
                      </w:r>
                    </w:smartTag>
                    <w:r>
                      <w:rPr>
                        <w:b/>
                        <w:bCs/>
                        <w:sz w:val="22"/>
                        <w:szCs w:val="22"/>
                        <w:lang w:eastAsia="ar-SA"/>
                      </w:rPr>
                      <w:t>. balandžio 19</w:t>
                    </w:r>
                  </w:smartTag>
                  <w:r>
                    <w:rPr>
                      <w:b/>
                      <w:bCs/>
                      <w:sz w:val="22"/>
                      <w:szCs w:val="22"/>
                      <w:lang w:eastAsia="ar-SA"/>
                    </w:rPr>
                    <w:t xml:space="preserve"> d.</w:t>
                  </w:r>
                </w:smartTag>
                <w:r>
                  <w:rPr>
                    <w:b/>
                    <w:bCs/>
                    <w:sz w:val="22"/>
                    <w:szCs w:val="22"/>
                    <w:lang w:eastAsia="ar-SA"/>
                  </w:rPr>
                  <w:t xml:space="preserve"> įsakymu Nr. 1K-152 „Dėl viešojo sektoriaus subjektų finansinių ataskaitų rinkinių konsolidavimo“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30888C" w14:textId="77777777" w:rsidR="00E8392C" w:rsidRDefault="00D336F0">
                <w:pPr>
                  <w:suppressAutoHyphens/>
                  <w:jc w:val="center"/>
                  <w:rPr>
                    <w:b/>
                    <w:bCs/>
                    <w:sz w:val="22"/>
                    <w:szCs w:val="22"/>
                    <w:lang w:eastAsia="ar-SA"/>
                  </w:rPr>
                </w:pPr>
                <w:r>
                  <w:rPr>
                    <w:b/>
                    <w:bCs/>
                    <w:sz w:val="22"/>
                    <w:szCs w:val="22"/>
                    <w:lang w:eastAsia="ar-SA"/>
                  </w:rPr>
                  <w:t>Konsolidavimo lygis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30888D" w14:textId="77777777" w:rsidR="00E8392C" w:rsidRDefault="00D336F0">
                <w:pPr>
                  <w:suppressAutoHyphens/>
                  <w:jc w:val="center"/>
                  <w:rPr>
                    <w:b/>
                    <w:bCs/>
                    <w:sz w:val="22"/>
                    <w:szCs w:val="22"/>
                    <w:lang w:eastAsia="ar-SA"/>
                  </w:rPr>
                </w:pPr>
                <w:r>
                  <w:rPr>
                    <w:b/>
                    <w:bCs/>
                    <w:sz w:val="22"/>
                    <w:szCs w:val="22"/>
                    <w:lang w:eastAsia="ar-SA"/>
                  </w:rPr>
                  <w:t>Už darbo atlikimą atsakingas konsolidavimo lygis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30888E" w14:textId="77777777" w:rsidR="00E8392C" w:rsidRDefault="00D336F0">
                <w:pPr>
                  <w:suppressAutoHyphens/>
                  <w:jc w:val="center"/>
                  <w:rPr>
                    <w:b/>
                    <w:bCs/>
                    <w:sz w:val="22"/>
                    <w:szCs w:val="22"/>
                    <w:lang w:eastAsia="ar-SA"/>
                  </w:rPr>
                </w:pPr>
                <w:r>
                  <w:rPr>
                    <w:b/>
                    <w:bCs/>
                    <w:sz w:val="22"/>
                    <w:szCs w:val="22"/>
                    <w:lang w:eastAsia="ar-SA"/>
                  </w:rPr>
                  <w:t>Darbo pradžios data</w:t>
                </w:r>
              </w:p>
            </w:tc>
            <w:tc>
              <w:tcPr>
                <w:tcW w:w="12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30888F" w14:textId="77777777" w:rsidR="00E8392C" w:rsidRDefault="00D336F0">
                <w:pPr>
                  <w:suppressAutoHyphens/>
                  <w:jc w:val="center"/>
                  <w:rPr>
                    <w:b/>
                    <w:bCs/>
                    <w:sz w:val="22"/>
                    <w:szCs w:val="22"/>
                    <w:lang w:eastAsia="ar-SA"/>
                  </w:rPr>
                </w:pPr>
                <w:r>
                  <w:rPr>
                    <w:b/>
                    <w:bCs/>
                    <w:sz w:val="22"/>
                    <w:szCs w:val="22"/>
                    <w:lang w:eastAsia="ar-SA"/>
                  </w:rPr>
                  <w:t>Darbo pabaigos data</w:t>
                </w:r>
              </w:p>
            </w:tc>
          </w:tr>
          <w:tr w:rsidR="00E8392C" w14:paraId="60308898" w14:textId="77777777">
            <w:trPr>
              <w:trHeight w:val="986"/>
              <w:jc w:val="center"/>
            </w:trPr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91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1.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308892" w14:textId="77777777" w:rsidR="00E8392C" w:rsidRDefault="00D336F0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 xml:space="preserve">Tarpusavio operacijų </w:t>
                </w:r>
                <w:r>
                  <w:rPr>
                    <w:sz w:val="22"/>
                    <w:szCs w:val="22"/>
                    <w:lang w:eastAsia="ar-SA"/>
                  </w:rPr>
                  <w:t>suderinimas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308893" w14:textId="77777777" w:rsidR="00E8392C" w:rsidRDefault="00D336F0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Tarpusavio operacijų informacijos, kuri yra derinama su kitais viešojo sektoriaus subjektais, pateikimas į Viešojo sektoriaus apskaitos ir ataskaitų konsolidavimo informacinę sistemą tarpusavio operacijų derinimo srityje ir suderinimas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94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Visi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95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Vis</w:t>
                </w:r>
                <w:r>
                  <w:rPr>
                    <w:sz w:val="22"/>
                    <w:szCs w:val="22"/>
                    <w:lang w:eastAsia="ar-SA"/>
                  </w:rPr>
                  <w:t>i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96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2015 01 19</w:t>
                </w:r>
              </w:p>
            </w:tc>
            <w:tc>
              <w:tcPr>
                <w:tcW w:w="12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308897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2015 03 02</w:t>
                </w:r>
              </w:p>
            </w:tc>
          </w:tr>
          <w:tr w:rsidR="00E8392C" w14:paraId="603088A3" w14:textId="77777777">
            <w:trPr>
              <w:trHeight w:val="986"/>
              <w:jc w:val="center"/>
            </w:trPr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99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2.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30889A" w14:textId="77777777" w:rsidR="00E8392C" w:rsidRDefault="00D336F0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Informacijos apie nuosavybės dalis pateikimas</w:t>
                </w:r>
              </w:p>
              <w:p w14:paraId="6030889B" w14:textId="77777777" w:rsidR="00E8392C" w:rsidRDefault="00E8392C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</w:p>
              <w:p w14:paraId="6030889C" w14:textId="77777777" w:rsidR="00E8392C" w:rsidRDefault="00E8392C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30889D" w14:textId="77777777" w:rsidR="00E8392C" w:rsidRDefault="00D336F0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Informacijos apie nuosavybės dalis pateikimas ir tvirtinimas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9E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Visi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9F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Visi</w:t>
                </w:r>
              </w:p>
              <w:p w14:paraId="603088A0" w14:textId="77777777" w:rsidR="00E8392C" w:rsidRDefault="00E8392C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A1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2015 01 19</w:t>
                </w:r>
              </w:p>
            </w:tc>
            <w:tc>
              <w:tcPr>
                <w:tcW w:w="12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3088A2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2015 02 25</w:t>
                </w:r>
              </w:p>
            </w:tc>
          </w:tr>
          <w:tr w:rsidR="00E8392C" w14:paraId="603088AD" w14:textId="77777777">
            <w:trPr>
              <w:trHeight w:val="842"/>
              <w:jc w:val="center"/>
            </w:trPr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A4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3.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3088A5" w14:textId="77777777" w:rsidR="00E8392C" w:rsidRDefault="00D336F0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Informacijos apie nuosavybės dalis tvirtinimas</w:t>
                </w:r>
              </w:p>
              <w:p w14:paraId="603088A6" w14:textId="77777777" w:rsidR="00E8392C" w:rsidRDefault="00E8392C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</w:p>
              <w:p w14:paraId="603088A7" w14:textId="77777777" w:rsidR="00E8392C" w:rsidRDefault="00E8392C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3088A8" w14:textId="77777777" w:rsidR="00E8392C" w:rsidRDefault="00E8392C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A9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Visi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AA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Visi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AB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2015 02 26</w:t>
                </w:r>
              </w:p>
            </w:tc>
            <w:tc>
              <w:tcPr>
                <w:tcW w:w="12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3088AC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2015 02 27</w:t>
                </w:r>
              </w:p>
            </w:tc>
          </w:tr>
          <w:tr w:rsidR="00E8392C" w14:paraId="603088B6" w14:textId="77777777">
            <w:trPr>
              <w:trHeight w:val="2129"/>
              <w:jc w:val="center"/>
            </w:trPr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AE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lastRenderedPageBreak/>
                  <w:t>4.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3088AF" w14:textId="77777777" w:rsidR="00E8392C" w:rsidRDefault="00D336F0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Išankstinis viešųjų įstaigų finansinių ataskaitų rinkinio duomenų ir eliminavimo informacijos pateikimas</w:t>
                </w:r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3088B0" w14:textId="77777777" w:rsidR="00E8392C" w:rsidRDefault="00D336F0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 xml:space="preserve">Finansinių ataskaitų rinkinio duomenų ir eliminavimo informacijos pateikimas ir tvirtinimas 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B1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Visi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B2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Visi</w:t>
                </w:r>
              </w:p>
              <w:p w14:paraId="603088B3" w14:textId="77777777" w:rsidR="00E8392C" w:rsidRDefault="00E8392C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B4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2015 01 19</w:t>
                </w:r>
              </w:p>
            </w:tc>
            <w:tc>
              <w:tcPr>
                <w:tcW w:w="12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3088B5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2015 02 17</w:t>
                </w:r>
              </w:p>
            </w:tc>
          </w:tr>
          <w:tr w:rsidR="00E8392C" w14:paraId="603088BF" w14:textId="77777777">
            <w:trPr>
              <w:trHeight w:val="765"/>
              <w:jc w:val="center"/>
            </w:trPr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B7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5.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3088B8" w14:textId="77777777" w:rsidR="00E8392C" w:rsidRDefault="00D336F0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 xml:space="preserve">Finansinių ataskaitų rinkinio duomenų ir eliminavimo informacijos pateikimas </w:t>
                </w:r>
              </w:p>
            </w:tc>
            <w:tc>
              <w:tcPr>
                <w:tcW w:w="2126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3088B9" w14:textId="77777777" w:rsidR="00E8392C" w:rsidRDefault="00E8392C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BA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Visi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BB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Visi</w:t>
                </w:r>
              </w:p>
              <w:p w14:paraId="603088BC" w14:textId="77777777" w:rsidR="00E8392C" w:rsidRDefault="00E8392C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BD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2015 01 19</w:t>
                </w:r>
              </w:p>
            </w:tc>
            <w:tc>
              <w:tcPr>
                <w:tcW w:w="12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BE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2015 03 12</w:t>
                </w:r>
              </w:p>
            </w:tc>
          </w:tr>
          <w:tr w:rsidR="00E8392C" w14:paraId="603088C7" w14:textId="77777777">
            <w:trPr>
              <w:trHeight w:val="630"/>
              <w:jc w:val="center"/>
            </w:trPr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C0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6.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3088C1" w14:textId="77777777" w:rsidR="00E8392C" w:rsidRDefault="00D336F0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 xml:space="preserve">Finansinių ataskaitų rinkinio duomenų ir eliminavimo informacijos tvirtinimas </w:t>
                </w:r>
              </w:p>
            </w:tc>
            <w:tc>
              <w:tcPr>
                <w:tcW w:w="212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3088C2" w14:textId="77777777" w:rsidR="00E8392C" w:rsidRDefault="00E8392C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C3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Visi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C4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Visi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C5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2015 03 13</w:t>
                </w:r>
              </w:p>
            </w:tc>
            <w:tc>
              <w:tcPr>
                <w:tcW w:w="12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C6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2015 03 16</w:t>
                </w:r>
              </w:p>
            </w:tc>
          </w:tr>
          <w:tr w:rsidR="00E8392C" w14:paraId="603088D1" w14:textId="77777777">
            <w:trPr>
              <w:trHeight w:val="630"/>
              <w:jc w:val="center"/>
            </w:trPr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C8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7.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3088C9" w14:textId="77777777" w:rsidR="00E8392C" w:rsidRDefault="00D336F0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 xml:space="preserve">Finansinių ataskaitų </w:t>
                </w:r>
                <w:r>
                  <w:rPr>
                    <w:sz w:val="22"/>
                    <w:szCs w:val="22"/>
                    <w:lang w:eastAsia="ar-SA"/>
                  </w:rPr>
                  <w:t>rinkinio duomenų ir eliminavimo informacijos apsaugojimas</w:t>
                </w:r>
              </w:p>
              <w:p w14:paraId="603088CA" w14:textId="77777777" w:rsidR="00E8392C" w:rsidRDefault="00E8392C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3088CB" w14:textId="77777777" w:rsidR="00E8392C" w:rsidRDefault="00D336F0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Konsoliduotųjų finansinių ataskaitų rinkinio rengimas ir tvirtinimas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CC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Visi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CD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Visi</w:t>
                </w:r>
              </w:p>
              <w:p w14:paraId="603088CE" w14:textId="77777777" w:rsidR="00E8392C" w:rsidRDefault="00E8392C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CF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2015 03 13</w:t>
                </w:r>
              </w:p>
            </w:tc>
            <w:tc>
              <w:tcPr>
                <w:tcW w:w="12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D0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2015 03 16</w:t>
                </w:r>
              </w:p>
            </w:tc>
          </w:tr>
          <w:tr w:rsidR="00E8392C" w14:paraId="603088DB" w14:textId="77777777">
            <w:trPr>
              <w:trHeight w:val="510"/>
              <w:jc w:val="center"/>
            </w:trPr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D2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8.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3088D3" w14:textId="77777777" w:rsidR="00E8392C" w:rsidRDefault="00D336F0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Konsoliduotųjų finansinių ataskaitų rinkinio parengimas</w:t>
                </w:r>
              </w:p>
              <w:p w14:paraId="603088D4" w14:textId="77777777" w:rsidR="00E8392C" w:rsidRDefault="00E8392C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3088D5" w14:textId="77777777" w:rsidR="00E8392C" w:rsidRDefault="00E8392C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D6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IV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D7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IV</w:t>
                </w:r>
              </w:p>
              <w:p w14:paraId="603088D8" w14:textId="77777777" w:rsidR="00E8392C" w:rsidRDefault="00E8392C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D9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2015 03 23</w:t>
                </w:r>
              </w:p>
            </w:tc>
            <w:tc>
              <w:tcPr>
                <w:tcW w:w="12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DA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2015 04 07</w:t>
                </w:r>
              </w:p>
            </w:tc>
          </w:tr>
          <w:tr w:rsidR="00E8392C" w14:paraId="603088E4" w14:textId="77777777">
            <w:trPr>
              <w:trHeight w:val="503"/>
              <w:jc w:val="center"/>
            </w:trPr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DC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9.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3088DD" w14:textId="77777777" w:rsidR="00E8392C" w:rsidRDefault="00D336F0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Konsoliduotųjų finansinių ataskaitų rinkinio tvirtinimas</w:t>
                </w:r>
              </w:p>
              <w:p w14:paraId="603088DE" w14:textId="77777777" w:rsidR="00E8392C" w:rsidRDefault="00E8392C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3088DF" w14:textId="77777777" w:rsidR="00E8392C" w:rsidRDefault="00E8392C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E0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IV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E1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IV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E2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2015 04 08</w:t>
                </w:r>
              </w:p>
            </w:tc>
            <w:tc>
              <w:tcPr>
                <w:tcW w:w="12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E3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2015 04 09</w:t>
                </w:r>
              </w:p>
            </w:tc>
          </w:tr>
          <w:tr w:rsidR="00E8392C" w14:paraId="603088ED" w14:textId="77777777">
            <w:trPr>
              <w:trHeight w:val="502"/>
              <w:jc w:val="center"/>
            </w:trPr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E5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10.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3088E6" w14:textId="77777777" w:rsidR="00E8392C" w:rsidRDefault="00D336F0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Konsoliduotųjų finansinių ataskaitų rinkinio apsaugojimas</w:t>
                </w:r>
              </w:p>
              <w:p w14:paraId="603088E7" w14:textId="77777777" w:rsidR="00E8392C" w:rsidRDefault="00E8392C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3088E8" w14:textId="77777777" w:rsidR="00E8392C" w:rsidRDefault="00E8392C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E9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IV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EA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III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EB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2015 04 08</w:t>
                </w:r>
              </w:p>
            </w:tc>
            <w:tc>
              <w:tcPr>
                <w:tcW w:w="12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EC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2015 04 09</w:t>
                </w:r>
              </w:p>
            </w:tc>
          </w:tr>
          <w:tr w:rsidR="00E8392C" w14:paraId="603088F7" w14:textId="77777777">
            <w:trPr>
              <w:trHeight w:val="510"/>
              <w:jc w:val="center"/>
            </w:trPr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EE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11.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3088EF" w14:textId="77777777" w:rsidR="00E8392C" w:rsidRDefault="00D336F0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Konsoliduotųjų finansinių ataskaitų rinkinio parengimas</w:t>
                </w:r>
              </w:p>
              <w:p w14:paraId="603088F0" w14:textId="77777777" w:rsidR="00E8392C" w:rsidRDefault="00E8392C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3088F1" w14:textId="77777777" w:rsidR="00E8392C" w:rsidRDefault="00E8392C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F2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III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F3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III</w:t>
                </w:r>
              </w:p>
              <w:p w14:paraId="603088F4" w14:textId="77777777" w:rsidR="00E8392C" w:rsidRDefault="00E8392C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F5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2015 04 10</w:t>
                </w:r>
              </w:p>
            </w:tc>
            <w:tc>
              <w:tcPr>
                <w:tcW w:w="12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F6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2015 04 28</w:t>
                </w:r>
              </w:p>
            </w:tc>
          </w:tr>
          <w:tr w:rsidR="00E8392C" w14:paraId="60308900" w14:textId="77777777">
            <w:trPr>
              <w:trHeight w:val="503"/>
              <w:jc w:val="center"/>
            </w:trPr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F8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12.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3088F9" w14:textId="77777777" w:rsidR="00E8392C" w:rsidRDefault="00D336F0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Konsoliduotųjų finansinių ataskaitų rinkinio tvirtinimas</w:t>
                </w:r>
              </w:p>
              <w:p w14:paraId="603088FA" w14:textId="77777777" w:rsidR="00E8392C" w:rsidRDefault="00E8392C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3088FB" w14:textId="77777777" w:rsidR="00E8392C" w:rsidRDefault="00E8392C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FC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III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FD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III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FE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2015 04 29</w:t>
                </w:r>
              </w:p>
            </w:tc>
            <w:tc>
              <w:tcPr>
                <w:tcW w:w="12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8FF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2015 04 30</w:t>
                </w:r>
              </w:p>
            </w:tc>
          </w:tr>
          <w:tr w:rsidR="00E8392C" w14:paraId="60308908" w14:textId="77777777">
            <w:trPr>
              <w:trHeight w:val="64"/>
              <w:jc w:val="center"/>
            </w:trPr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01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13.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308902" w14:textId="77777777" w:rsidR="00E8392C" w:rsidRDefault="00D336F0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Konsoliduotųjų finansinių ataskaitų rinkinio apsaugojimas</w:t>
                </w: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308903" w14:textId="77777777" w:rsidR="00E8392C" w:rsidRDefault="00E8392C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04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III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05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II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06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2015 04 29</w:t>
                </w:r>
              </w:p>
            </w:tc>
            <w:tc>
              <w:tcPr>
                <w:tcW w:w="12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07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2015 04 30</w:t>
                </w:r>
              </w:p>
            </w:tc>
          </w:tr>
          <w:tr w:rsidR="00E8392C" w14:paraId="60308912" w14:textId="77777777">
            <w:trPr>
              <w:trHeight w:val="510"/>
              <w:jc w:val="center"/>
            </w:trPr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09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lastRenderedPageBreak/>
                  <w:t>14.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30890A" w14:textId="77777777" w:rsidR="00E8392C" w:rsidRDefault="00D336F0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 xml:space="preserve">Konsoliduotųjų finansinių ataskaitų </w:t>
                </w:r>
                <w:r>
                  <w:rPr>
                    <w:sz w:val="22"/>
                    <w:szCs w:val="22"/>
                    <w:lang w:eastAsia="ar-SA"/>
                  </w:rPr>
                  <w:t>rinkinio parengimas</w:t>
                </w:r>
              </w:p>
              <w:p w14:paraId="6030890B" w14:textId="77777777" w:rsidR="00E8392C" w:rsidRDefault="00E8392C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30890C" w14:textId="77777777" w:rsidR="00E8392C" w:rsidRDefault="00E8392C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0D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II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0E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II</w:t>
                </w:r>
              </w:p>
              <w:p w14:paraId="6030890F" w14:textId="77777777" w:rsidR="00E8392C" w:rsidRDefault="00E8392C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10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2015 05 04</w:t>
                </w:r>
              </w:p>
            </w:tc>
            <w:tc>
              <w:tcPr>
                <w:tcW w:w="12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11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2015 05 27</w:t>
                </w:r>
              </w:p>
            </w:tc>
          </w:tr>
          <w:tr w:rsidR="00E8392C" w14:paraId="6030891B" w14:textId="77777777">
            <w:trPr>
              <w:trHeight w:val="503"/>
              <w:jc w:val="center"/>
            </w:trPr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13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15.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308914" w14:textId="77777777" w:rsidR="00E8392C" w:rsidRDefault="00D336F0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Konsoliduotųjų finansinių ataskaitų rinkinio tvirtinimas</w:t>
                </w:r>
              </w:p>
              <w:p w14:paraId="60308915" w14:textId="77777777" w:rsidR="00E8392C" w:rsidRDefault="00E8392C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2126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308916" w14:textId="77777777" w:rsidR="00E8392C" w:rsidRDefault="00E8392C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17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II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18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II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19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2015 05 28</w:t>
                </w:r>
              </w:p>
            </w:tc>
            <w:tc>
              <w:tcPr>
                <w:tcW w:w="12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1A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2015 05 29</w:t>
                </w:r>
              </w:p>
            </w:tc>
          </w:tr>
          <w:tr w:rsidR="00E8392C" w14:paraId="60308924" w14:textId="77777777">
            <w:trPr>
              <w:trHeight w:val="502"/>
              <w:jc w:val="center"/>
            </w:trPr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1C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16.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30891D" w14:textId="77777777" w:rsidR="00E8392C" w:rsidRDefault="00D336F0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Konsoliduotųjų finansinių ataskaitų rinkinio apsaugojimas</w:t>
                </w:r>
              </w:p>
              <w:p w14:paraId="6030891E" w14:textId="77777777" w:rsidR="00E8392C" w:rsidRDefault="00E8392C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2126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30891F" w14:textId="77777777" w:rsidR="00E8392C" w:rsidRDefault="00E8392C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20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II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21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I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22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2015 05 28</w:t>
                </w:r>
              </w:p>
            </w:tc>
            <w:tc>
              <w:tcPr>
                <w:tcW w:w="12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23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2015 05 29</w:t>
                </w:r>
              </w:p>
            </w:tc>
          </w:tr>
          <w:tr w:rsidR="00E8392C" w14:paraId="6030892E" w14:textId="77777777">
            <w:trPr>
              <w:trHeight w:val="1270"/>
              <w:jc w:val="center"/>
            </w:trPr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25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17.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308926" w14:textId="77777777" w:rsidR="00E8392C" w:rsidRDefault="00D336F0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 xml:space="preserve">Nacionalinio </w:t>
                </w:r>
                <w:r>
                  <w:rPr>
                    <w:sz w:val="22"/>
                    <w:szCs w:val="22"/>
                    <w:lang w:eastAsia="ar-SA"/>
                  </w:rPr>
                  <w:t>finansinių ataskaitų rinkinio parengimas</w:t>
                </w:r>
              </w:p>
              <w:p w14:paraId="60308927" w14:textId="77777777" w:rsidR="00E8392C" w:rsidRDefault="00E8392C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2126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308928" w14:textId="77777777" w:rsidR="00E8392C" w:rsidRDefault="00E8392C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29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I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2A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I</w:t>
                </w:r>
              </w:p>
              <w:p w14:paraId="6030892B" w14:textId="77777777" w:rsidR="00E8392C" w:rsidRDefault="00E8392C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2C" w14:textId="77777777" w:rsidR="00E8392C" w:rsidRDefault="00D336F0">
                <w:pPr>
                  <w:jc w:val="center"/>
                  <w:rPr>
                    <w:sz w:val="22"/>
                    <w:szCs w:val="22"/>
                    <w:lang w:eastAsia="lt-LT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2015 06 01</w:t>
                </w:r>
              </w:p>
            </w:tc>
            <w:tc>
              <w:tcPr>
                <w:tcW w:w="12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2D" w14:textId="77777777" w:rsidR="00E8392C" w:rsidRDefault="00D336F0">
                <w:pPr>
                  <w:jc w:val="center"/>
                  <w:rPr>
                    <w:sz w:val="22"/>
                    <w:szCs w:val="22"/>
                    <w:lang w:eastAsia="lt-LT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2015 06 26</w:t>
                </w:r>
              </w:p>
            </w:tc>
          </w:tr>
          <w:tr w:rsidR="00E8392C" w14:paraId="60308937" w14:textId="77777777">
            <w:trPr>
              <w:trHeight w:val="503"/>
              <w:jc w:val="center"/>
            </w:trPr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2F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18.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308930" w14:textId="77777777" w:rsidR="00E8392C" w:rsidRDefault="00D336F0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Nacionalinio finansinių ataskaitų rinkinio tvirtinimas</w:t>
                </w:r>
              </w:p>
              <w:p w14:paraId="60308931" w14:textId="77777777" w:rsidR="00E8392C" w:rsidRDefault="00E8392C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2126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308932" w14:textId="77777777" w:rsidR="00E8392C" w:rsidRDefault="00E8392C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33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I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34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I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35" w14:textId="77777777" w:rsidR="00E8392C" w:rsidRDefault="00D336F0">
                <w:pPr>
                  <w:jc w:val="center"/>
                  <w:rPr>
                    <w:sz w:val="22"/>
                    <w:szCs w:val="22"/>
                    <w:lang w:eastAsia="lt-LT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2015 06 29</w:t>
                </w:r>
              </w:p>
            </w:tc>
            <w:tc>
              <w:tcPr>
                <w:tcW w:w="12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36" w14:textId="77777777" w:rsidR="00E8392C" w:rsidRDefault="00D336F0">
                <w:pPr>
                  <w:jc w:val="center"/>
                  <w:rPr>
                    <w:sz w:val="22"/>
                    <w:szCs w:val="22"/>
                    <w:lang w:eastAsia="lt-LT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2015 06 30</w:t>
                </w:r>
              </w:p>
            </w:tc>
          </w:tr>
          <w:tr w:rsidR="00E8392C" w14:paraId="60308940" w14:textId="77777777">
            <w:trPr>
              <w:trHeight w:val="502"/>
              <w:jc w:val="center"/>
            </w:trPr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38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19.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308939" w14:textId="77777777" w:rsidR="00E8392C" w:rsidRDefault="00D336F0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Nacionalinio finansinių ataskaitų rinkinio apsaugojimas</w:t>
                </w:r>
              </w:p>
              <w:p w14:paraId="6030893A" w14:textId="77777777" w:rsidR="00E8392C" w:rsidRDefault="00E8392C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2126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30893B" w14:textId="77777777" w:rsidR="00E8392C" w:rsidRDefault="00E8392C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3C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I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3D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I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3E" w14:textId="77777777" w:rsidR="00E8392C" w:rsidRDefault="00D336F0">
                <w:pPr>
                  <w:jc w:val="center"/>
                  <w:rPr>
                    <w:sz w:val="22"/>
                    <w:szCs w:val="22"/>
                    <w:lang w:eastAsia="lt-LT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2015 06 29</w:t>
                </w:r>
              </w:p>
            </w:tc>
            <w:tc>
              <w:tcPr>
                <w:tcW w:w="12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3F" w14:textId="77777777" w:rsidR="00E8392C" w:rsidRDefault="00D336F0">
                <w:pPr>
                  <w:jc w:val="center"/>
                  <w:rPr>
                    <w:sz w:val="22"/>
                    <w:szCs w:val="22"/>
                    <w:lang w:eastAsia="lt-LT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2015 06 30</w:t>
                </w:r>
              </w:p>
            </w:tc>
          </w:tr>
          <w:tr w:rsidR="00E8392C" w14:paraId="60308948" w14:textId="77777777">
            <w:trPr>
              <w:trHeight w:val="502"/>
              <w:jc w:val="center"/>
            </w:trPr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41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20.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308942" w14:textId="77777777" w:rsidR="00E8392C" w:rsidRDefault="00D336F0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Valstybės konsoliduoto ir nacionalinio finansinių ataskaitų rinkinių tikslinimas</w:t>
                </w:r>
              </w:p>
            </w:tc>
            <w:tc>
              <w:tcPr>
                <w:tcW w:w="212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308943" w14:textId="77777777" w:rsidR="00E8392C" w:rsidRDefault="00E8392C">
                <w:pPr>
                  <w:suppressAutoHyphens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44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I, II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45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I, II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46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2015 07 01</w:t>
                </w:r>
              </w:p>
            </w:tc>
            <w:tc>
              <w:tcPr>
                <w:tcW w:w="12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308947" w14:textId="77777777" w:rsidR="00E8392C" w:rsidRDefault="00D336F0">
                <w:pPr>
                  <w:suppressAutoHyphens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2015 07 31</w:t>
                </w:r>
              </w:p>
            </w:tc>
          </w:tr>
        </w:tbl>
        <w:p w14:paraId="60308949" w14:textId="77777777" w:rsidR="00E8392C" w:rsidRDefault="00E8392C">
          <w:pPr>
            <w:ind w:left="5040"/>
            <w:rPr>
              <w:sz w:val="22"/>
              <w:szCs w:val="22"/>
              <w:lang w:eastAsia="lt-LT"/>
            </w:rPr>
          </w:pPr>
        </w:p>
        <w:sdt>
          <w:sdtPr>
            <w:alias w:val="pabaiga"/>
            <w:tag w:val="part_afeb6dab2fb546b7a148f6d8f8be47a9"/>
            <w:id w:val="707759112"/>
            <w:lock w:val="sdtLocked"/>
          </w:sdtPr>
          <w:sdtEndPr/>
          <w:sdtContent>
            <w:bookmarkStart w:id="0" w:name="_GoBack" w:displacedByCustomXml="prev"/>
            <w:p w14:paraId="6030894A" w14:textId="77777777" w:rsidR="00E8392C" w:rsidRDefault="00D336F0">
              <w:pPr>
                <w:jc w:val="center"/>
                <w:rPr>
                  <w:sz w:val="20"/>
                  <w:lang w:eastAsia="lt-LT"/>
                </w:rPr>
              </w:pPr>
              <w:r>
                <w:rPr>
                  <w:sz w:val="22"/>
                  <w:szCs w:val="22"/>
                  <w:lang w:eastAsia="lt-LT"/>
                </w:rPr>
                <w:t>___________________</w:t>
              </w:r>
            </w:p>
            <w:bookmarkEnd w:id="0" w:displacedByCustomXml="next"/>
          </w:sdtContent>
        </w:sdt>
      </w:sdtContent>
    </w:sdt>
    <w:sectPr w:rsidR="00E8392C" w:rsidSect="00D336F0">
      <w:pgSz w:w="11906" w:h="16838" w:code="9"/>
      <w:pgMar w:top="993" w:right="567" w:bottom="993" w:left="1701" w:header="560" w:footer="686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0894F" w14:textId="77777777" w:rsidR="00E8392C" w:rsidRDefault="00D336F0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60308950" w14:textId="77777777" w:rsidR="00E8392C" w:rsidRDefault="00D336F0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08955" w14:textId="77777777" w:rsidR="00E8392C" w:rsidRDefault="00E8392C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08956" w14:textId="77777777" w:rsidR="00E8392C" w:rsidRDefault="00E8392C">
    <w:pPr>
      <w:ind w:right="227"/>
      <w:jc w:val="right"/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08958" w14:textId="77777777" w:rsidR="00E8392C" w:rsidRDefault="00D336F0">
    <w:pPr>
      <w:ind w:right="227"/>
      <w:jc w:val="right"/>
      <w:rPr>
        <w:sz w:val="10"/>
        <w:lang w:eastAsia="lt-LT"/>
      </w:rPr>
    </w:pPr>
    <w:r>
      <w:rPr>
        <w:sz w:val="10"/>
        <w:lang w:eastAsia="lt-LT"/>
      </w:rPr>
      <w:t>Dokumentas4</w:t>
    </w:r>
  </w:p>
  <w:p w14:paraId="60308959" w14:textId="77777777" w:rsidR="00E8392C" w:rsidRDefault="00E8392C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0894D" w14:textId="77777777" w:rsidR="00E8392C" w:rsidRDefault="00D336F0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6030894E" w14:textId="77777777" w:rsidR="00E8392C" w:rsidRDefault="00D336F0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08951" w14:textId="77777777" w:rsidR="00E8392C" w:rsidRDefault="00D336F0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60308952" w14:textId="77777777" w:rsidR="00E8392C" w:rsidRDefault="00E8392C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08953" w14:textId="77777777" w:rsidR="00E8392C" w:rsidRDefault="00D336F0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4</w:t>
    </w:r>
    <w:r>
      <w:rPr>
        <w:lang w:eastAsia="lt-LT"/>
      </w:rPr>
      <w:fldChar w:fldCharType="end"/>
    </w:r>
  </w:p>
  <w:p w14:paraId="60308954" w14:textId="77777777" w:rsidR="00E8392C" w:rsidRDefault="00E8392C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08957" w14:textId="77777777" w:rsidR="00E8392C" w:rsidRDefault="00E8392C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50"/>
    <w:rsid w:val="00076A50"/>
    <w:rsid w:val="00D336F0"/>
    <w:rsid w:val="00E8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308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336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336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02"/>
    <w:rsid w:val="0068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8740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874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bc0d2811b7754a12b36b06da463a5c44" PartId="c6bedfd218694281870a3fd1a3f260ae">
    <Part Type="preambule" DocPartId="8574a14161384533886584b3c97f3e13" PartId="7e16ee22e41943be8511d4a750a84cbb"/>
    <Part Type="punktas" Nr="1" Abbr="1 p." DocPartId="bdb98fffdbba44529e1efbfd0cdd86d5" PartId="4327bbe811ec482187f0cd885a99d7d8"/>
    <Part Type="punktas" Nr="2" Abbr="2 p." DocPartId="25daf34d9242408d937d4cc95443b6c5" PartId="98e223c5dc2c4953a29800e7271e8686"/>
    <Part Type="signatura" DocPartId="55892757a16a480fa67af5b9c79f55ad" PartId="e368d4f98742436fa46764fb1d82fa0e"/>
  </Part>
  <Part Type="patvirtinta" Title="2014 METŲ KONSOLIDAVIMO KALENDORIUS" DocPartId="cc00c98191bd42d2befee2c5fcb05f05" PartId="60a9396c74ef45429051dfe321d33dd3">
    <Part Type="pabaiga" DocPartId="0b1308cd5d8c49609e648a4104ac9cab" PartId="afeb6dab2fb546b7a148f6d8f8be47a9"/>
  </Part>
</Parts>
</file>

<file path=customXml/itemProps1.xml><?xml version="1.0" encoding="utf-8"?>
<ds:datastoreItem xmlns:ds="http://schemas.openxmlformats.org/officeDocument/2006/customXml" ds:itemID="{B2473764-7EC6-4E4C-AFD3-8CB026C2AAE4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530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3870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 Baronas</dc:creator>
  <cp:lastModifiedBy>PETRAUSKAITĖ Girmantė</cp:lastModifiedBy>
  <cp:revision>3</cp:revision>
  <cp:lastPrinted>2008-12-29T11:20:00Z</cp:lastPrinted>
  <dcterms:created xsi:type="dcterms:W3CDTF">2014-12-31T09:35:00Z</dcterms:created>
  <dcterms:modified xsi:type="dcterms:W3CDTF">2014-12-31T10:28:00Z</dcterms:modified>
</cp:coreProperties>
</file>