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F99AA85" wp14:editId="052F792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RINKLIAVŲ ĮSTATYMO NR. VIII-1725 2 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sausio 17 d. Nr. XIII-200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>
      <w:pPr>
        <w:widowControl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b/>
          <w:szCs w:val="24"/>
        </w:rPr>
        <w:t>Valstybės rinkliava</w:t>
      </w:r>
      <w:r>
        <w:rPr>
          <w:szCs w:val="24"/>
        </w:rPr>
        <w:t xml:space="preserve"> – privaloma įmoka  už valstybės ir vietos savivaldos institucijų, įstaigų, tarnybų ar organizacijų (toliau – institucijos), išskyrus teismus, teikiamas paslaugas, išskyrus specialiuose įstatymuose nustatytas paslaugas, už kurias šiuose įstatymuose nustatyta tvarka numatytas kitoks atlyginimas.“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2017 m. vasario 1 d.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740</Characters>
  <Application>Microsoft Office Word</Application>
  <DocSecurity>4</DocSecurity>
  <Lines>30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831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2017-01-24T06:39:00Z</dcterms:created>
  <dc:creator>MANIUŠKIENĖ Violeta</dc:creator>
  <lastModifiedBy>adlibuser</lastModifiedBy>
  <lastPrinted>2004-12-10T05:45:00Z</lastPrinted>
  <dcterms:modified xsi:type="dcterms:W3CDTF">2017-01-24T06:39:00Z</dcterms:modified>
  <revision>2</revision>
</coreProperties>
</file>