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A42B9CA" wp14:editId="2CDE601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PELNO MOKESČIO ĮSTATYMO NR. IX-675 58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27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XIII-517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58 straipsnio pakeitimas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Papildyti 58 straipsnį 16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 dalimi: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16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>.</w:t>
      </w:r>
      <w:r>
        <w:rPr>
          <w:color w:val="000000"/>
          <w:szCs w:val="24"/>
          <w:shd w:val="clear" w:color="auto" w:fill="FFFFFF"/>
        </w:rPr>
        <w:t xml:space="preserve"> Šio straipsnio 16 dalies 1 ir 2 punktuose nustatytos mokesčių lengvatos taikomos tokia pačia tvarka ir sąlygomis ir investuotojams, kurie atitinka šio straipsnio 16 dalies 1 ir 2 punktuose nustatytas laisvosios ekonominės zonos įmonei keliamas sąlygas dėl lengvatų taikymo ir kuriems Lietuvos Respublikos c</w:t>
      </w:r>
      <w:r>
        <w:rPr>
          <w:szCs w:val="24"/>
        </w:rPr>
        <w:t xml:space="preserve">ivilinio kodekso, </w:t>
      </w:r>
      <w:r>
        <w:rPr>
          <w:color w:val="000000"/>
          <w:szCs w:val="24"/>
          <w:shd w:val="clear" w:color="auto" w:fill="FFFFFF"/>
        </w:rPr>
        <w:t>Lietuvos Respublikos ž</w:t>
      </w:r>
      <w:r>
        <w:rPr>
          <w:szCs w:val="24"/>
        </w:rPr>
        <w:t xml:space="preserve">emės įstatymo bei konkrečių Lietuvos Respublikos laisvųjų ekonominių zonų </w:t>
      </w:r>
      <w:r>
        <w:rPr>
          <w:color w:val="000000"/>
          <w:szCs w:val="24"/>
          <w:shd w:val="clear" w:color="auto" w:fill="FFFFFF"/>
        </w:rPr>
        <w:t xml:space="preserve">įstatymų </w:t>
      </w:r>
      <w:r>
        <w:rPr>
          <w:szCs w:val="24"/>
        </w:rPr>
        <w:t>nustatytomis sąlygomis ir</w:t>
      </w:r>
      <w:r>
        <w:rPr>
          <w:color w:val="000000"/>
          <w:szCs w:val="24"/>
          <w:shd w:val="clear" w:color="auto" w:fill="FFFFFF"/>
        </w:rPr>
        <w:t xml:space="preserve"> tvarka yra išnuomoti zonos teritorijoje esantys žemės sklypai ar jų dalys, kol nėra įsteigta zonos valdymo bendrovė, kaip nustatyta Lietuvos Respublikos laisvųjų ekonominių zonų pagrindų įstatyme</w:t>
      </w:r>
      <w:r>
        <w:rPr>
          <w:bCs/>
          <w:szCs w:val="24"/>
        </w:rPr>
        <w:t>. Įsteigus zonos valdymo bendrovę, investuotojams, įgijusiems laisvosios ekonominės zonos įmonės statusą, taikomi mokesčių lengvatų terminai ir sąlygos nekeičiami.</w:t>
      </w:r>
      <w:r>
        <w:rPr>
          <w:szCs w:val="24"/>
        </w:rPr>
        <w:t>“</w:t>
      </w:r>
    </w:p>
    <w:p>
      <w:pPr>
        <w:spacing w:line="360" w:lineRule="auto"/>
        <w:ind w:firstLine="720"/>
        <w:jc w:val="both"/>
        <w:rPr>
          <w:bCs/>
          <w:szCs w:val="24"/>
        </w:rPr>
      </w:pPr>
    </w:p>
    <w:p>
      <w:pPr>
        <w:spacing w:line="360" w:lineRule="auto"/>
        <w:ind w:left="720"/>
        <w:jc w:val="both"/>
        <w:rPr>
          <w:rFonts w:ascii="TimesLT" w:hAnsi="TimesLT"/>
          <w:lang w:val="en-US" w:eastAsia="lt-LT"/>
        </w:rPr>
      </w:pPr>
      <w:r>
        <w:rPr>
          <w:rFonts w:ascii="TimesLT" w:hAnsi="TimesLT"/>
          <w:b/>
          <w:bCs/>
          <w:lang w:eastAsia="lt-LT"/>
        </w:rPr>
        <w:t>2</w:t>
      </w:r>
      <w:r>
        <w:rPr>
          <w:rFonts w:ascii="TimesLT" w:hAnsi="TimesLT"/>
          <w:b/>
          <w:bCs/>
          <w:lang w:eastAsia="lt-LT"/>
        </w:rPr>
        <w:t xml:space="preserve"> straipsnis. </w:t>
      </w:r>
      <w:r>
        <w:rPr>
          <w:rFonts w:ascii="TimesLT" w:hAnsi="TimesLT"/>
          <w:b/>
          <w:bCs/>
          <w:lang w:eastAsia="lt-LT"/>
        </w:rPr>
        <w:t>Įstatymo įsigaliojimas ir taikymas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 įsigalioja 2018 m. sausio 1 d.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Šio įstatymo nuostatos taikomos apskaičiuojant 2018 metų ir vėlesnių metų mokestinių laikotarpių pelno mokestį.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1274</Characters>
  <Application>Microsoft Office Word</Application>
  <DocSecurity>4</DocSecurity>
  <Lines>36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1449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2017-06-30T12:22:00Z</dcterms:created>
  <dc:creator>DRAZDAUSKIENĖ Nijolė</dc:creator>
  <lastModifiedBy>adlibuser</lastModifiedBy>
  <lastPrinted>2017-06-27T08:40:00Z</lastPrinted>
  <dcterms:modified xsi:type="dcterms:W3CDTF">2017-06-30T12:22:00Z</dcterms:modified>
  <revision>2</revision>
</coreProperties>
</file>