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2203C" w14:textId="071EBA04" w:rsidR="00E3260B" w:rsidRDefault="004108DF" w:rsidP="004108DF">
      <w:pPr>
        <w:widowControl w:val="0"/>
        <w:tabs>
          <w:tab w:val="center" w:pos="4819"/>
          <w:tab w:val="right" w:pos="9638"/>
        </w:tabs>
        <w:jc w:val="center"/>
        <w:rPr>
          <w:szCs w:val="24"/>
          <w:lang w:eastAsia="lt-LT"/>
        </w:rPr>
      </w:pPr>
      <w:r>
        <w:rPr>
          <w:noProof/>
          <w:szCs w:val="24"/>
          <w:lang w:eastAsia="lt-LT"/>
        </w:rPr>
        <w:drawing>
          <wp:inline distT="0" distB="0" distL="0" distR="0" wp14:anchorId="1922204E" wp14:editId="1922204F">
            <wp:extent cx="4667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22203D" w14:textId="77777777" w:rsidR="00E3260B" w:rsidRDefault="004108DF">
      <w:pPr>
        <w:widowControl w:val="0"/>
        <w:shd w:val="clear" w:color="auto" w:fill="FFFFFF"/>
        <w:jc w:val="center"/>
        <w:rPr>
          <w:b/>
          <w:bCs/>
          <w:color w:val="000000"/>
          <w:spacing w:val="-6"/>
          <w:szCs w:val="24"/>
          <w:lang w:eastAsia="lt-LT"/>
        </w:rPr>
      </w:pPr>
      <w:r>
        <w:rPr>
          <w:b/>
          <w:bCs/>
          <w:color w:val="000000"/>
          <w:spacing w:val="-6"/>
          <w:szCs w:val="24"/>
          <w:lang w:eastAsia="lt-LT"/>
        </w:rPr>
        <w:t>LIETUVOS RESPUBLIKOS SVEIKATOS APSAUGOS MINISTRAS</w:t>
      </w:r>
    </w:p>
    <w:p w14:paraId="1922203E" w14:textId="77777777" w:rsidR="00E3260B" w:rsidRDefault="00E3260B">
      <w:pPr>
        <w:widowControl w:val="0"/>
        <w:shd w:val="clear" w:color="auto" w:fill="FFFFFF"/>
        <w:ind w:left="1570"/>
        <w:rPr>
          <w:b/>
          <w:szCs w:val="24"/>
          <w:lang w:eastAsia="lt-LT"/>
        </w:rPr>
      </w:pPr>
    </w:p>
    <w:p w14:paraId="1922203F" w14:textId="77777777" w:rsidR="00E3260B" w:rsidRDefault="004108DF">
      <w:pPr>
        <w:widowControl w:val="0"/>
        <w:shd w:val="clear" w:color="auto" w:fill="FFFFFF"/>
        <w:jc w:val="center"/>
        <w:rPr>
          <w:b/>
          <w:bCs/>
          <w:color w:val="000000"/>
          <w:spacing w:val="-9"/>
          <w:szCs w:val="24"/>
          <w:lang w:eastAsia="lt-LT"/>
        </w:rPr>
      </w:pPr>
      <w:r>
        <w:rPr>
          <w:b/>
          <w:bCs/>
          <w:color w:val="000000"/>
          <w:spacing w:val="-9"/>
          <w:szCs w:val="24"/>
          <w:lang w:eastAsia="lt-LT"/>
        </w:rPr>
        <w:t>ĮSAKYMAS</w:t>
      </w:r>
    </w:p>
    <w:p w14:paraId="19222040" w14:textId="77777777" w:rsidR="00E3260B" w:rsidRDefault="004108DF">
      <w:pPr>
        <w:widowControl w:val="0"/>
        <w:shd w:val="clear" w:color="auto" w:fill="FFFFFF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LIETUVOS RESPUBLIKOS SVEIKATOS APSAUGOS MINISTRO 2014 M. LIEPOS 16 D. ĮSAKYMO NR. V-825 „DĖL SVEIKO SENĖJIMO </w:t>
      </w:r>
      <w:r>
        <w:rPr>
          <w:b/>
          <w:szCs w:val="24"/>
          <w:lang w:eastAsia="lt-LT"/>
        </w:rPr>
        <w:t>UŽTIKRINIMO LIETUVOJE 2014–2023 M. VEIKSMŲ PLANO PATVIRTINIMO“ PAKEITIMO</w:t>
      </w:r>
    </w:p>
    <w:p w14:paraId="19222041" w14:textId="77777777" w:rsidR="00E3260B" w:rsidRDefault="00E3260B">
      <w:pPr>
        <w:widowControl w:val="0"/>
        <w:shd w:val="clear" w:color="auto" w:fill="FFFFFF"/>
        <w:jc w:val="center"/>
        <w:rPr>
          <w:b/>
          <w:szCs w:val="24"/>
          <w:lang w:eastAsia="lt-LT"/>
        </w:rPr>
      </w:pPr>
    </w:p>
    <w:p w14:paraId="19222042" w14:textId="77777777" w:rsidR="00E3260B" w:rsidRDefault="004108DF">
      <w:pPr>
        <w:widowControl w:val="0"/>
        <w:shd w:val="clear" w:color="auto" w:fill="FFFFFF"/>
        <w:tabs>
          <w:tab w:val="left" w:pos="1134"/>
          <w:tab w:val="left" w:pos="1276"/>
        </w:tabs>
        <w:ind w:right="57"/>
        <w:jc w:val="center"/>
        <w:rPr>
          <w:color w:val="000000"/>
          <w:spacing w:val="-9"/>
          <w:szCs w:val="24"/>
          <w:lang w:eastAsia="lt-LT"/>
        </w:rPr>
      </w:pPr>
      <w:r>
        <w:rPr>
          <w:color w:val="000000"/>
          <w:spacing w:val="-9"/>
          <w:szCs w:val="24"/>
          <w:lang w:eastAsia="lt-LT"/>
        </w:rPr>
        <w:t>2016 m. rugsėjo 13 d. Nr. V-1080</w:t>
      </w:r>
    </w:p>
    <w:p w14:paraId="19222043" w14:textId="77777777" w:rsidR="00E3260B" w:rsidRDefault="004108DF">
      <w:pPr>
        <w:widowControl w:val="0"/>
        <w:shd w:val="clear" w:color="auto" w:fill="FFFFFF"/>
        <w:tabs>
          <w:tab w:val="left" w:pos="1134"/>
          <w:tab w:val="left" w:pos="1276"/>
        </w:tabs>
        <w:ind w:right="57"/>
        <w:jc w:val="center"/>
        <w:rPr>
          <w:color w:val="000000"/>
          <w:spacing w:val="-9"/>
          <w:szCs w:val="24"/>
          <w:lang w:eastAsia="lt-LT"/>
        </w:rPr>
      </w:pPr>
      <w:r>
        <w:rPr>
          <w:color w:val="000000"/>
          <w:spacing w:val="-9"/>
          <w:szCs w:val="24"/>
          <w:lang w:eastAsia="lt-LT"/>
        </w:rPr>
        <w:t>Vilnius</w:t>
      </w:r>
    </w:p>
    <w:p w14:paraId="19222044" w14:textId="77777777" w:rsidR="00E3260B" w:rsidRDefault="00E3260B">
      <w:pPr>
        <w:widowControl w:val="0"/>
        <w:shd w:val="clear" w:color="auto" w:fill="FFFFFF"/>
        <w:ind w:left="57" w:right="57" w:firstLine="1134"/>
        <w:jc w:val="both"/>
        <w:rPr>
          <w:color w:val="000000"/>
          <w:spacing w:val="-4"/>
          <w:szCs w:val="24"/>
          <w:lang w:eastAsia="lt-LT"/>
        </w:rPr>
      </w:pPr>
    </w:p>
    <w:p w14:paraId="19222045" w14:textId="77777777" w:rsidR="00E3260B" w:rsidRDefault="00E3260B">
      <w:pPr>
        <w:widowControl w:val="0"/>
        <w:shd w:val="clear" w:color="auto" w:fill="FFFFFF"/>
        <w:ind w:left="57" w:right="57" w:firstLine="1134"/>
        <w:jc w:val="both"/>
        <w:rPr>
          <w:color w:val="000000"/>
          <w:spacing w:val="-4"/>
          <w:szCs w:val="24"/>
          <w:lang w:eastAsia="lt-LT"/>
        </w:rPr>
      </w:pPr>
    </w:p>
    <w:p w14:paraId="19222046" w14:textId="77777777" w:rsidR="00E3260B" w:rsidRDefault="004108DF">
      <w:pPr>
        <w:ind w:left="57" w:right="57" w:firstLine="652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 a k e i č i u Sveiko senėjimo užtikrinimo Lietuvoje 2014–2023 metų veiksmų planą, patvirtintą Lietuvos Respublikos sveikatos apsaugos </w:t>
      </w:r>
      <w:r>
        <w:rPr>
          <w:szCs w:val="24"/>
          <w:lang w:eastAsia="lt-LT"/>
        </w:rPr>
        <w:t xml:space="preserve">ministro 2014 m. liepos 16 d. įsakymu Nr. V-825 „Dėl Sveiko senėjimo užtikrinimo Lietuvoje 2014–2023 m. veiksmų plano patvirtinimo“, ir 5 priedo „Kompleksinių slaugos ir </w:t>
      </w:r>
      <w:proofErr w:type="spellStart"/>
      <w:r>
        <w:rPr>
          <w:szCs w:val="24"/>
          <w:lang w:eastAsia="lt-LT"/>
        </w:rPr>
        <w:t>geriatrinių</w:t>
      </w:r>
      <w:proofErr w:type="spellEnd"/>
      <w:r>
        <w:rPr>
          <w:szCs w:val="24"/>
          <w:lang w:eastAsia="lt-LT"/>
        </w:rPr>
        <w:t xml:space="preserve"> sveikatos priežiūros paslaugų tinklo optimizavimo krypties aprašas“ 49.1 p</w:t>
      </w:r>
      <w:r>
        <w:rPr>
          <w:szCs w:val="24"/>
          <w:lang w:eastAsia="lt-LT"/>
        </w:rPr>
        <w:t>apunktį išdėstau taip:</w:t>
      </w:r>
    </w:p>
    <w:p w14:paraId="1922204B" w14:textId="3896B132" w:rsidR="00E3260B" w:rsidRDefault="004108DF" w:rsidP="004108DF">
      <w:pPr>
        <w:ind w:firstLine="78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49.1</w:t>
      </w:r>
      <w:r>
        <w:rPr>
          <w:szCs w:val="24"/>
        </w:rPr>
        <w:t xml:space="preserve">. dviejų </w:t>
      </w:r>
      <w:proofErr w:type="spellStart"/>
      <w:r>
        <w:rPr>
          <w:szCs w:val="24"/>
        </w:rPr>
        <w:t>geriatrijos</w:t>
      </w:r>
      <w:proofErr w:type="spellEnd"/>
      <w:r>
        <w:rPr>
          <w:szCs w:val="24"/>
        </w:rPr>
        <w:t xml:space="preserve"> centrų, glaudžiai bendradarbiaujančių su dviem universitetais, kurie ruošia gydytojus </w:t>
      </w:r>
      <w:proofErr w:type="spellStart"/>
      <w:r>
        <w:rPr>
          <w:szCs w:val="24"/>
        </w:rPr>
        <w:t>geriatrus</w:t>
      </w:r>
      <w:proofErr w:type="spellEnd"/>
      <w:r>
        <w:rPr>
          <w:szCs w:val="24"/>
        </w:rPr>
        <w:t xml:space="preserve">, t. y. Vilniaus universiteto Medicinos fakulteto Vidaus ligų, šeimos medicinos ir onkologijos klinikos </w:t>
      </w:r>
      <w:r>
        <w:rPr>
          <w:szCs w:val="24"/>
        </w:rPr>
        <w:t xml:space="preserve">gerontologijos centru ir Lietuvos sveikatos mokslų universiteto </w:t>
      </w:r>
      <w:proofErr w:type="spellStart"/>
      <w:r>
        <w:rPr>
          <w:szCs w:val="24"/>
        </w:rPr>
        <w:t>Geriatrijos</w:t>
      </w:r>
      <w:proofErr w:type="spellEnd"/>
      <w:r>
        <w:rPr>
          <w:szCs w:val="24"/>
        </w:rPr>
        <w:t xml:space="preserve"> klinika, kūrimas Vilniaus ir Kauno ligoninėse, kuriose teikiamos antrinio ir tretinio lygio ambulatorinės ir stacionarinės paslaugos, dirba įvairių sričių sveikatos priežiūros spec</w:t>
      </w:r>
      <w:r>
        <w:rPr>
          <w:szCs w:val="24"/>
        </w:rPr>
        <w:t>ialistai, yra tinkama aplinka senyvo amžiaus žmonėms, pagal poreikį sukuriant reikalingą infrastruktūrą (modernizuojant patalpas ir įsigyjant / atnaujinant įrangą), stacionaro, dienos stacionaro ir ambulatorinėms paslaugoms koordinuoti ir teikti. Vykdytoja</w:t>
      </w:r>
      <w:r>
        <w:rPr>
          <w:szCs w:val="24"/>
        </w:rPr>
        <w:t xml:space="preserve">i: </w:t>
      </w:r>
      <w:proofErr w:type="spellStart"/>
      <w:r>
        <w:rPr>
          <w:szCs w:val="24"/>
        </w:rPr>
        <w:t>VšĮ</w:t>
      </w:r>
      <w:proofErr w:type="spellEnd"/>
      <w:r>
        <w:rPr>
          <w:szCs w:val="24"/>
        </w:rPr>
        <w:t xml:space="preserve"> Vilniaus miesto klinikinė ligoninė, </w:t>
      </w:r>
      <w:proofErr w:type="spellStart"/>
      <w:r>
        <w:rPr>
          <w:szCs w:val="24"/>
        </w:rPr>
        <w:t>VšĮ</w:t>
      </w:r>
      <w:proofErr w:type="spellEnd"/>
      <w:r>
        <w:rPr>
          <w:szCs w:val="24"/>
        </w:rPr>
        <w:t xml:space="preserve"> Kauno klinikinė ligoninė;“. </w:t>
      </w:r>
    </w:p>
    <w:bookmarkStart w:id="0" w:name="_GoBack" w:displacedByCustomXml="prev"/>
    <w:p w14:paraId="4D2BB3C8" w14:textId="77777777" w:rsidR="004108DF" w:rsidRDefault="004108DF" w:rsidP="004108DF">
      <w:pPr>
        <w:widowControl w:val="0"/>
        <w:ind w:right="57"/>
      </w:pPr>
    </w:p>
    <w:p w14:paraId="3FDA2612" w14:textId="77777777" w:rsidR="004108DF" w:rsidRDefault="004108DF" w:rsidP="004108DF">
      <w:pPr>
        <w:widowControl w:val="0"/>
        <w:ind w:right="57"/>
      </w:pPr>
    </w:p>
    <w:p w14:paraId="2EF36026" w14:textId="77777777" w:rsidR="004108DF" w:rsidRDefault="004108DF" w:rsidP="004108DF">
      <w:pPr>
        <w:widowControl w:val="0"/>
        <w:ind w:right="57"/>
      </w:pPr>
    </w:p>
    <w:p w14:paraId="1922204C" w14:textId="209CF11A" w:rsidR="00E3260B" w:rsidRDefault="004108DF" w:rsidP="004108DF">
      <w:pPr>
        <w:widowControl w:val="0"/>
        <w:ind w:right="57"/>
        <w:rPr>
          <w:szCs w:val="24"/>
          <w:lang w:eastAsia="lt-LT"/>
        </w:rPr>
      </w:pPr>
      <w:r>
        <w:rPr>
          <w:szCs w:val="24"/>
          <w:lang w:eastAsia="lt-LT"/>
        </w:rPr>
        <w:t xml:space="preserve">Krašto apsaugos ministras, pavaduojantis </w:t>
      </w:r>
    </w:p>
    <w:p w14:paraId="1922204D" w14:textId="60AC29C8" w:rsidR="00E3260B" w:rsidRDefault="004108DF" w:rsidP="004108DF">
      <w:pPr>
        <w:widowControl w:val="0"/>
        <w:ind w:right="57"/>
        <w:rPr>
          <w:szCs w:val="24"/>
          <w:lang w:eastAsia="lt-LT"/>
        </w:rPr>
      </w:pPr>
      <w:r>
        <w:rPr>
          <w:szCs w:val="24"/>
          <w:lang w:eastAsia="lt-LT"/>
        </w:rPr>
        <w:t xml:space="preserve">sveikatos apsaugos ministrą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</w:t>
      </w:r>
      <w:r>
        <w:rPr>
          <w:szCs w:val="24"/>
          <w:lang w:eastAsia="lt-LT"/>
        </w:rPr>
        <w:t>Juozas Olekas</w:t>
      </w:r>
    </w:p>
    <w:bookmarkEnd w:id="0" w:displacedByCustomXml="next"/>
    <w:sectPr w:rsidR="00E3260B" w:rsidSect="004108D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9" w:h="16834"/>
      <w:pgMar w:top="1135" w:right="569" w:bottom="720" w:left="1809" w:header="567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22052" w14:textId="77777777" w:rsidR="00E3260B" w:rsidRDefault="004108DF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14:paraId="19222053" w14:textId="77777777" w:rsidR="00E3260B" w:rsidRDefault="004108DF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22057" w14:textId="77777777" w:rsidR="00E3260B" w:rsidRDefault="00E3260B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22058" w14:textId="77777777" w:rsidR="00E3260B" w:rsidRDefault="00E3260B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2205A" w14:textId="77777777" w:rsidR="00E3260B" w:rsidRDefault="00E3260B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22050" w14:textId="77777777" w:rsidR="00E3260B" w:rsidRDefault="004108DF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14:paraId="19222051" w14:textId="77777777" w:rsidR="00E3260B" w:rsidRDefault="004108DF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22054" w14:textId="77777777" w:rsidR="00E3260B" w:rsidRDefault="00E3260B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22055" w14:textId="77777777" w:rsidR="00E3260B" w:rsidRDefault="004108DF">
    <w:pPr>
      <w:widowControl w:val="0"/>
      <w:tabs>
        <w:tab w:val="center" w:pos="4819"/>
        <w:tab w:val="right" w:pos="9638"/>
      </w:tabs>
      <w:jc w:val="center"/>
      <w:rPr>
        <w:sz w:val="20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>PAGE   \* MERGEFORMAT</w:instrText>
    </w:r>
    <w:r>
      <w:rPr>
        <w:szCs w:val="24"/>
        <w:lang w:eastAsia="lt-LT"/>
      </w:rPr>
      <w:fldChar w:fldCharType="separate"/>
    </w:r>
    <w:r>
      <w:rPr>
        <w:szCs w:val="24"/>
        <w:lang w:eastAsia="lt-LT"/>
      </w:rPr>
      <w:t>2</w:t>
    </w:r>
    <w:r>
      <w:rPr>
        <w:szCs w:val="24"/>
        <w:lang w:eastAsia="lt-LT"/>
      </w:rPr>
      <w:fldChar w:fldCharType="end"/>
    </w:r>
  </w:p>
  <w:p w14:paraId="19222056" w14:textId="77777777" w:rsidR="00E3260B" w:rsidRDefault="00E3260B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EA"/>
    <w:rsid w:val="003B7EEA"/>
    <w:rsid w:val="004108DF"/>
    <w:rsid w:val="00E3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222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108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108D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4108D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10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108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108D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4108D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1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Sveikatos apsaugos ministerija</Company>
  <LinksUpToDate>false</LinksUpToDate>
  <CharactersWithSpaces>1621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2016-09-14T12:28:00Z</dcterms:created>
  <dc:creator>Inga Cechanovičienė</dc:creator>
  <lastModifiedBy>SKAPAITĖ Dalia</lastModifiedBy>
  <lastPrinted>2016-05-03T08:00:00Z</lastPrinted>
  <dcterms:modified xsi:type="dcterms:W3CDTF">2016-09-14T12:33:00Z</dcterms:modified>
  <revision>3</revision>
</coreProperties>
</file>