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 w:rsidR="00D75264" w:rsidRPr="00676C75" w:rsidRDefault="00676C75">
      <w:pPr>
        <w:keepNext/>
        <w:suppressAutoHyphens/>
        <w:jc w:val="center"/>
        <w:rPr>
          <w:rFonts w:eastAsia="Lucida Sans Unicode" w:cs="Tahoma"/>
          <w:b/>
          <w:bCs/>
          <w:szCs w:val="24"/>
          <w:lang w:eastAsia="ar-SA"/>
        </w:rPr>
      </w:pPr>
      <w:r w:rsidRPr="00676C75">
        <w:rPr>
          <w:rFonts w:ascii="Calibri" w:eastAsia="Calibri" w:hAnsi="Calibri"/>
          <w:noProof/>
          <w:sz w:val="22"/>
          <w:szCs w:val="22"/>
          <w:lang w:val="en-US"/>
        </w:rPr>
        <w:drawing>
          <wp:inline distT="0" distB="0" distL="0" distR="0">
            <wp:extent cx="847725" cy="866775"/>
            <wp:effectExtent l="0" t="0" r="9525" b="9525"/>
            <wp:docPr id="1" name="Paveikslėlis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taisx="http://lrs.lt/TAIS/DocPartXmlMarks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264" w:rsidRPr="00676C75" w:rsidRDefault="00676C75">
      <w:pPr>
        <w:keepNext/>
        <w:suppressAutoHyphens/>
        <w:jc w:val="center"/>
        <w:rPr>
          <w:rFonts w:eastAsia="Lucida Sans Unicode" w:cs="Tahoma"/>
          <w:b/>
          <w:bCs/>
          <w:szCs w:val="24"/>
          <w:lang w:eastAsia="ar-SA"/>
        </w:rPr>
      </w:pPr>
      <w:r w:rsidRPr="00676C75">
        <w:rPr>
          <w:rFonts w:eastAsia="Lucida Sans Unicode" w:cs="Tahoma"/>
          <w:b/>
          <w:bCs/>
          <w:szCs w:val="24"/>
          <w:lang w:eastAsia="ar-SA"/>
        </w:rPr>
        <w:t>ŠIAULIŲ MIESTO SAVIVALDYBĖS TARYBA</w:t>
      </w:r>
    </w:p>
    <w:p w:rsidR="00D75264" w:rsidRPr="00676C75" w:rsidRDefault="00D75264">
      <w:pPr>
        <w:suppressAutoHyphens/>
        <w:jc w:val="both"/>
        <w:rPr>
          <w:lang w:eastAsia="ar-SA"/>
        </w:rPr>
      </w:pPr>
    </w:p>
    <w:p w:rsidR="00D75264" w:rsidRPr="00676C75" w:rsidRDefault="00676C75">
      <w:pPr>
        <w:suppressAutoHyphens/>
        <w:jc w:val="center"/>
        <w:rPr>
          <w:b/>
          <w:bCs/>
          <w:szCs w:val="24"/>
          <w:lang w:eastAsia="ar-SA"/>
        </w:rPr>
      </w:pPr>
      <w:r w:rsidRPr="00676C75">
        <w:rPr>
          <w:b/>
          <w:bCs/>
          <w:szCs w:val="24"/>
          <w:lang w:eastAsia="ar-SA"/>
        </w:rPr>
        <w:t>SPRENDIMAS</w:t>
      </w:r>
    </w:p>
    <w:p w:rsidR="00D75264" w:rsidRPr="00676C75" w:rsidRDefault="00676C75">
      <w:pPr>
        <w:suppressAutoHyphens/>
        <w:jc w:val="center"/>
        <w:rPr>
          <w:b/>
          <w:szCs w:val="24"/>
          <w:lang w:eastAsia="ar-SA"/>
        </w:rPr>
      </w:pPr>
      <w:r w:rsidRPr="00676C75">
        <w:rPr>
          <w:b/>
          <w:szCs w:val="24"/>
          <w:lang w:eastAsia="ar-SA"/>
        </w:rPr>
        <w:t>DĖL 2019 METŲ ŽEMĖS MOKESČIO TARIFŲ IR NEAPMOKESTINAMOJO ŽEMĖS SKLYPO DYDŽIO NUSTATYMO</w:t>
      </w:r>
    </w:p>
    <w:p w:rsidR="00D75264" w:rsidRPr="00676C75" w:rsidRDefault="00D75264">
      <w:pPr>
        <w:suppressAutoHyphens/>
        <w:jc w:val="center"/>
        <w:rPr>
          <w:b/>
          <w:lang w:eastAsia="ar-SA"/>
        </w:rPr>
      </w:pPr>
    </w:p>
    <w:p w:rsidR="00D75264" w:rsidRPr="00676C75" w:rsidRDefault="00676C75">
      <w:pPr>
        <w:suppressAutoHyphens/>
        <w:jc w:val="center"/>
        <w:rPr>
          <w:szCs w:val="24"/>
          <w:lang w:eastAsia="ar-SA"/>
        </w:rPr>
      </w:pPr>
      <w:r w:rsidRPr="00676C75">
        <w:rPr>
          <w:szCs w:val="24"/>
          <w:lang w:eastAsia="ar-SA"/>
        </w:rPr>
        <w:t>2018 m. gegužės 3 d. Nr. T-167</w:t>
      </w:r>
    </w:p>
    <w:p w:rsidR="00D75264" w:rsidRPr="00676C75" w:rsidRDefault="00676C75">
      <w:pPr>
        <w:suppressAutoHyphens/>
        <w:jc w:val="center"/>
        <w:rPr>
          <w:szCs w:val="24"/>
          <w:lang w:eastAsia="ar-SA"/>
        </w:rPr>
      </w:pPr>
      <w:r w:rsidRPr="00676C75">
        <w:rPr>
          <w:szCs w:val="24"/>
          <w:lang w:eastAsia="ar-SA"/>
        </w:rPr>
        <w:t>Šiauliai</w:t>
      </w:r>
    </w:p>
    <w:p w:rsidR="00D75264" w:rsidRPr="00676C75" w:rsidRDefault="00D75264">
      <w:pPr>
        <w:suppressAutoHyphens/>
        <w:ind w:firstLine="900"/>
        <w:jc w:val="both"/>
        <w:rPr>
          <w:szCs w:val="24"/>
          <w:lang w:eastAsia="ar-SA"/>
        </w:rPr>
      </w:pPr>
    </w:p>
    <w:p w:rsidR="00D75264" w:rsidRPr="00676C75" w:rsidRDefault="00D75264">
      <w:pPr>
        <w:suppressAutoHyphens/>
        <w:ind w:firstLine="900"/>
        <w:jc w:val="both"/>
        <w:rPr>
          <w:szCs w:val="24"/>
          <w:lang w:eastAsia="ar-SA"/>
        </w:rPr>
      </w:pPr>
    </w:p>
    <w:p w:rsidR="00D75264" w:rsidRPr="00676C75" w:rsidRDefault="00676C75">
      <w:pPr>
        <w:suppressAutoHyphens/>
        <w:ind w:firstLine="720"/>
        <w:jc w:val="both"/>
        <w:rPr>
          <w:lang w:eastAsia="ar-SA"/>
        </w:rPr>
      </w:pPr>
      <w:r w:rsidRPr="00676C75">
        <w:rPr>
          <w:lang w:eastAsia="ar-SA"/>
        </w:rPr>
        <w:t xml:space="preserve">Vadovaudamasi Lietuvos Respublikos vietos savivaldos įstatymo 16 straipsnio 2 dalies 37 punktu, Lietuvos Respublikos žemės mokesčio įstatymo </w:t>
      </w:r>
      <w:r w:rsidRPr="00676C75">
        <w:rPr>
          <w:lang w:eastAsia="ar-SA"/>
        </w:rPr>
        <w:t xml:space="preserve">6 straipsniu, 8 straipsnio 2 dalies 3 punktu </w:t>
      </w:r>
      <w:r w:rsidRPr="00676C75">
        <w:rPr>
          <w:lang w:eastAsia="ar-SA"/>
        </w:rPr>
        <w:t>ir atsižvelgdama į Šiaulių miesto savivaldybės administracijos direkto</w:t>
      </w:r>
      <w:r w:rsidRPr="00676C75">
        <w:rPr>
          <w:lang w:eastAsia="ar-SA"/>
        </w:rPr>
        <w:t xml:space="preserve">riaus 2018 m. kovo 27 d. įsakymu Nr. A-477 „Dėl darbo grupės sudarymo“ sudarytos darbo grupės siūlymus (2018 m. balandžio 5 d. protokolas Nr. </w:t>
      </w:r>
      <w:r w:rsidRPr="00676C75">
        <w:rPr>
          <w:lang w:eastAsia="ar-SA"/>
        </w:rPr>
        <w:t>VAK-155),</w:t>
      </w:r>
      <w:r w:rsidRPr="00676C75">
        <w:rPr>
          <w:lang w:eastAsia="ar-SA"/>
        </w:rPr>
        <w:t xml:space="preserve"> Šiaulių miesto savivaldybės taryba n u s p r e n d ž i a:</w:t>
      </w:r>
    </w:p>
    <w:p w:rsidR="00D75264" w:rsidRPr="00676C75" w:rsidRDefault="00D75264">
      <w:pPr>
        <w:suppressAutoHyphens/>
        <w:ind w:firstLine="720"/>
        <w:jc w:val="both"/>
        <w:rPr>
          <w:lang w:eastAsia="ar-SA"/>
        </w:rPr>
      </w:pPr>
      <w:r w:rsidR="00676C75" w:rsidRPr="00676C75">
        <w:rPr>
          <w:lang w:eastAsia="ar-SA"/>
        </w:rPr>
        <w:t>1</w:t>
      </w:r>
      <w:r w:rsidR="00676C75" w:rsidRPr="00676C75">
        <w:rPr>
          <w:lang w:eastAsia="ar-SA"/>
        </w:rPr>
        <w:t>. Nustatyti:</w:t>
      </w:r>
    </w:p>
    <w:p w:rsidR="00D75264" w:rsidRPr="00676C75" w:rsidRDefault="00D75264">
      <w:pPr>
        <w:suppressAutoHyphens/>
        <w:ind w:firstLine="720"/>
        <w:jc w:val="both"/>
        <w:rPr>
          <w:lang w:eastAsia="ar-SA"/>
        </w:rPr>
      </w:pPr>
      <w:r w:rsidR="00676C75" w:rsidRPr="00676C75">
        <w:rPr>
          <w:lang w:eastAsia="ar-SA"/>
        </w:rPr>
        <w:t>1.1</w:t>
      </w:r>
      <w:r w:rsidR="00676C75" w:rsidRPr="00676C75">
        <w:rPr>
          <w:lang w:eastAsia="ar-SA"/>
        </w:rPr>
        <w:t xml:space="preserve"> Šiaulių miesto savival</w:t>
      </w:r>
      <w:r w:rsidR="00676C75" w:rsidRPr="00676C75">
        <w:rPr>
          <w:lang w:eastAsia="ar-SA"/>
        </w:rPr>
        <w:t>dybės teritorijoje esančios privačios žemės 2019 metų žemės mokesčio tarifus (procentais nuo žemės mokestinės vertės):</w:t>
      </w:r>
    </w:p>
    <w:p w:rsidR="00D75264" w:rsidRPr="00676C75" w:rsidRDefault="00D75264">
      <w:pPr>
        <w:suppressAutoHyphens/>
        <w:ind w:firstLine="720"/>
        <w:jc w:val="both"/>
        <w:rPr>
          <w:lang w:eastAsia="ar-SA"/>
        </w:rPr>
      </w:pPr>
      <w:r w:rsidR="00676C75" w:rsidRPr="00676C75">
        <w:rPr>
          <w:lang w:eastAsia="ar-SA"/>
        </w:rPr>
        <w:t>1.1.1</w:t>
      </w:r>
      <w:r w:rsidR="00676C75" w:rsidRPr="00676C75">
        <w:rPr>
          <w:lang w:eastAsia="ar-SA"/>
        </w:rPr>
        <w:t>. pagal pagrindinę žemės naudojimo paskirtį ir žemės sklypo naudojimo būdą (priedas);</w:t>
      </w:r>
    </w:p>
    <w:p w:rsidR="00D75264" w:rsidRPr="00676C75" w:rsidRDefault="00D75264">
      <w:pPr>
        <w:suppressAutoHyphens/>
        <w:ind w:firstLine="720"/>
        <w:jc w:val="both"/>
        <w:rPr>
          <w:lang w:eastAsia="ar-SA"/>
        </w:rPr>
      </w:pPr>
      <w:r w:rsidR="00676C75" w:rsidRPr="00676C75">
        <w:rPr>
          <w:lang w:eastAsia="ar-SA"/>
        </w:rPr>
        <w:t>1.1.2</w:t>
      </w:r>
      <w:r w:rsidR="00676C75" w:rsidRPr="00676C75">
        <w:rPr>
          <w:lang w:eastAsia="ar-SA"/>
        </w:rPr>
        <w:t>. bet kurios pagrindinės paskirties</w:t>
      </w:r>
      <w:r w:rsidR="00676C75" w:rsidRPr="00676C75">
        <w:rPr>
          <w:lang w:eastAsia="ar-SA"/>
        </w:rPr>
        <w:t xml:space="preserve"> ir naudojimo būdo nenaudojamiems žemės sklypams ir apleistoms žemės ūkio naudmenoms – 4 proc.;</w:t>
      </w:r>
    </w:p>
    <w:p w:rsidR="00D75264" w:rsidRPr="00676C75" w:rsidRDefault="00D75264">
      <w:pPr>
        <w:suppressAutoHyphens/>
        <w:ind w:firstLine="720"/>
        <w:jc w:val="both"/>
        <w:rPr>
          <w:lang w:eastAsia="ar-SA"/>
        </w:rPr>
      </w:pPr>
      <w:r w:rsidR="00676C75" w:rsidRPr="00676C75">
        <w:rPr>
          <w:lang w:eastAsia="ar-SA"/>
        </w:rPr>
        <w:t>1.2</w:t>
      </w:r>
      <w:r w:rsidR="00676C75" w:rsidRPr="00676C75">
        <w:rPr>
          <w:lang w:eastAsia="ar-SA"/>
        </w:rPr>
        <w:t>. žemės mokesčiu neapmokestinamą 7 arų žemės sklypo dydį fiziniams asmenims, kurių šeimose mokestinio laikotarpio pradžioje nėra darbingų asmenų ir kur</w:t>
      </w:r>
      <w:r w:rsidR="00676C75" w:rsidRPr="00676C75">
        <w:rPr>
          <w:lang w:eastAsia="ar-SA"/>
        </w:rPr>
        <w:t>iems nustatytas 0–40 procentų darbingumo lygis arba kurie yra sukakę senatvės pensijos amžių ar yra nepilnamečiai.</w:t>
      </w:r>
    </w:p>
    <w:p w:rsidR="00D75264" w:rsidRPr="00676C75" w:rsidRDefault="00D75264">
      <w:pPr>
        <w:suppressAutoHyphens/>
        <w:ind w:firstLine="720"/>
        <w:jc w:val="both"/>
        <w:rPr>
          <w:lang w:eastAsia="ar-SA"/>
        </w:rPr>
      </w:pPr>
      <w:r w:rsidR="00676C75" w:rsidRPr="00676C75">
        <w:rPr>
          <w:lang w:eastAsia="ar-SA"/>
        </w:rPr>
        <w:t>2</w:t>
      </w:r>
      <w:r w:rsidR="00676C75" w:rsidRPr="00676C75">
        <w:rPr>
          <w:lang w:eastAsia="ar-SA"/>
        </w:rPr>
        <w:t>. Nustatyti, kad šis sprendimas įsigalioja nuo 2019 m. sausio 1 d.</w:t>
      </w:r>
    </w:p>
    <w:p w:rsidR="00D75264" w:rsidRPr="00676C75" w:rsidRDefault="00D75264">
      <w:pPr>
        <w:suppressAutoHyphens/>
        <w:rPr>
          <w:szCs w:val="24"/>
          <w:lang w:eastAsia="ar-SA"/>
        </w:rPr>
      </w:pPr>
    </w:p>
    <w:p w:rsidR="00D75264" w:rsidRPr="00676C75" w:rsidRDefault="00D75264">
      <w:pPr>
        <w:suppressAutoHyphens/>
        <w:rPr>
          <w:szCs w:val="24"/>
          <w:lang w:eastAsia="ar-SA"/>
        </w:rPr>
      </w:pPr>
    </w:p>
    <w:p w:rsidR="00D75264" w:rsidRPr="00676C75" w:rsidRDefault="00D75264">
      <w:pPr>
        <w:suppressAutoHyphens/>
        <w:rPr>
          <w:szCs w:val="24"/>
          <w:lang w:eastAsia="ar-SA"/>
        </w:rPr>
      </w:pPr>
    </w:p>
    <w:p w:rsidR="00D75264" w:rsidRPr="00676C75" w:rsidRDefault="00676C75">
      <w:pPr>
        <w:suppressAutoHyphens/>
        <w:rPr>
          <w:szCs w:val="24"/>
          <w:lang w:eastAsia="ar-SA"/>
        </w:rPr>
      </w:pPr>
      <w:r w:rsidRPr="00676C75">
        <w:rPr>
          <w:szCs w:val="24"/>
          <w:lang w:eastAsia="ar-SA"/>
        </w:rPr>
        <w:t>Savivaldybės meras</w:t>
      </w:r>
      <w:r w:rsidRPr="00676C75">
        <w:rPr>
          <w:szCs w:val="24"/>
          <w:lang w:eastAsia="ar-SA"/>
        </w:rPr>
        <w:tab/>
      </w:r>
      <w:r w:rsidRPr="00676C75">
        <w:rPr>
          <w:szCs w:val="24"/>
          <w:lang w:eastAsia="ar-SA"/>
        </w:rPr>
        <w:tab/>
      </w:r>
      <w:r w:rsidRPr="00676C75">
        <w:rPr>
          <w:szCs w:val="24"/>
          <w:lang w:eastAsia="ar-SA"/>
        </w:rPr>
        <w:tab/>
      </w:r>
      <w:r w:rsidRPr="00676C75">
        <w:rPr>
          <w:szCs w:val="24"/>
          <w:lang w:eastAsia="ar-SA"/>
        </w:rPr>
        <w:tab/>
      </w:r>
      <w:r w:rsidRPr="00676C75">
        <w:rPr>
          <w:szCs w:val="24"/>
          <w:lang w:eastAsia="ar-SA"/>
        </w:rPr>
        <w:tab/>
      </w:r>
      <w:r w:rsidRPr="00676C75">
        <w:rPr>
          <w:szCs w:val="24"/>
          <w:lang w:eastAsia="ar-SA"/>
        </w:rPr>
        <w:tab/>
      </w:r>
      <w:r w:rsidRPr="00676C75">
        <w:rPr>
          <w:szCs w:val="24"/>
          <w:lang w:eastAsia="ar-SA"/>
        </w:rPr>
        <w:tab/>
      </w:r>
      <w:r w:rsidRPr="00676C75">
        <w:rPr>
          <w:szCs w:val="24"/>
          <w:lang w:eastAsia="ar-SA"/>
        </w:rPr>
        <w:tab/>
      </w:r>
      <w:r w:rsidRPr="00676C75">
        <w:rPr>
          <w:szCs w:val="24"/>
          <w:lang w:eastAsia="ar-SA"/>
        </w:rPr>
        <w:tab/>
        <w:t>Artūras Visockas</w:t>
      </w:r>
    </w:p>
    <w:p w:rsidR="00676C75" w:rsidRDefault="00676C75">
      <w:pPr>
        <w:suppressAutoHyphens/>
        <w:rPr>
          <w:szCs w:val="24"/>
          <w:lang w:eastAsia="ar-SA"/>
        </w:rPr>
      </w:pPr>
    </w:p>
    <w:p w:rsidR="00676C75" w:rsidRPr="00676C75" w:rsidRDefault="00676C75">
      <w:pPr>
        <w:suppressAutoHyphens/>
        <w:rPr>
          <w:szCs w:val="24"/>
          <w:lang w:eastAsia="ar-SA"/>
        </w:rPr>
        <w:sectPr w:rsidR="00676C75" w:rsidRPr="00676C75" w:rsidSect="00D75264">
          <w:pgSz w:w="11906" w:h="16838"/>
          <w:pgMar w:top="1134" w:right="567" w:bottom="1134" w:left="1701" w:header="113" w:footer="720" w:gutter="0"/>
          <w:cols w:space="1296"/>
          <w:docGrid w:linePitch="360"/>
        </w:sectPr>
      </w:pPr>
    </w:p>
    <w:p w:rsidR="00676C75" w:rsidRPr="00676C75" w:rsidRDefault="00676C75" w:rsidP="00676C75">
      <w:pPr>
        <w:spacing w:line="100" w:lineRule="atLeast"/>
        <w:ind w:firstLine="4950"/>
        <w:jc w:val="both"/>
        <w:rPr>
          <w:szCs w:val="24"/>
        </w:rPr>
      </w:pPr>
      <w:r w:rsidRPr="00676C75">
        <w:rPr>
          <w:szCs w:val="24"/>
        </w:rPr>
        <w:lastRenderedPageBreak/>
        <w:t>Šiaulių miesto savivaldybės tarybos</w:t>
      </w:r>
    </w:p>
    <w:p w:rsidR="00676C75" w:rsidRPr="00676C75" w:rsidRDefault="00676C75" w:rsidP="00676C75">
      <w:pPr>
        <w:spacing w:line="100" w:lineRule="atLeast"/>
        <w:ind w:firstLine="4950"/>
        <w:jc w:val="both"/>
        <w:rPr>
          <w:szCs w:val="24"/>
        </w:rPr>
      </w:pPr>
      <w:r w:rsidRPr="00676C75">
        <w:rPr>
          <w:szCs w:val="24"/>
        </w:rPr>
        <w:t>2018 m. gegužės3 d. sprendimo Nr. T-167</w:t>
      </w:r>
      <w:bookmarkStart w:id="0" w:name="_GoBack"/>
      <w:bookmarkEnd w:id="0"/>
    </w:p>
    <w:p w:rsidR="00676C75" w:rsidRPr="00676C75" w:rsidRDefault="00676C75" w:rsidP="00676C75">
      <w:pPr>
        <w:spacing w:line="100" w:lineRule="atLeast"/>
        <w:ind w:firstLine="4950"/>
        <w:jc w:val="both"/>
        <w:rPr>
          <w:szCs w:val="24"/>
        </w:rPr>
      </w:pPr>
      <w:r w:rsidRPr="00676C75">
        <w:rPr>
          <w:szCs w:val="24"/>
        </w:rPr>
        <w:t>priedas</w:t>
      </w:r>
    </w:p>
    <w:p w:rsidR="00676C75" w:rsidRPr="00676C75" w:rsidRDefault="00676C75" w:rsidP="00676C75">
      <w:pPr>
        <w:spacing w:line="100" w:lineRule="atLeast"/>
        <w:jc w:val="center"/>
        <w:rPr>
          <w:b/>
          <w:szCs w:val="24"/>
        </w:rPr>
      </w:pPr>
    </w:p>
    <w:p w:rsidR="00676C75" w:rsidRPr="00676C75" w:rsidRDefault="00676C75" w:rsidP="00676C75">
      <w:pPr>
        <w:spacing w:line="100" w:lineRule="atLeast"/>
        <w:jc w:val="center"/>
        <w:rPr>
          <w:b/>
          <w:szCs w:val="24"/>
        </w:rPr>
      </w:pPr>
      <w:r w:rsidRPr="00676C75">
        <w:rPr>
          <w:b/>
          <w:szCs w:val="24"/>
        </w:rPr>
        <w:t xml:space="preserve">2019 METŲ ŽEMĖS MOKESČIO TARIFŲ PAGAL PAGRINDINĘ ŽEMĖS NAUDOJIMO PASKIRTĮ IR ŽEMĖS SKLYPO NAUDOJIMO BŪDĄ LENTELĖ </w:t>
      </w:r>
    </w:p>
    <w:p w:rsidR="00676C75" w:rsidRPr="00676C75" w:rsidRDefault="00676C75" w:rsidP="00676C75">
      <w:pPr>
        <w:spacing w:line="100" w:lineRule="atLeast"/>
        <w:rPr>
          <w:szCs w:val="24"/>
        </w:rPr>
      </w:pPr>
    </w:p>
    <w:p w:rsidR="00676C75" w:rsidRPr="00676C75" w:rsidRDefault="00676C75" w:rsidP="00676C75">
      <w:pPr>
        <w:spacing w:line="100" w:lineRule="atLeast"/>
        <w:rPr>
          <w:szCs w:val="24"/>
        </w:rPr>
      </w:pPr>
    </w:p>
    <w:tbl>
      <w:tblPr>
        <w:tblW w:w="0" w:type="auto"/>
        <w:tblInd w:w="274" w:type="dxa"/>
        <w:tblLayout w:type="fixed"/>
        <w:tblLook w:val="04A0"/>
      </w:tblPr>
      <w:tblGrid>
        <w:gridCol w:w="765"/>
        <w:gridCol w:w="1320"/>
        <w:gridCol w:w="4845"/>
        <w:gridCol w:w="2398"/>
      </w:tblGrid>
      <w:tr w:rsidR="00676C75" w:rsidRPr="00676C75" w:rsidTr="00676C75">
        <w:trPr>
          <w:trHeight w:val="94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ind w:hanging="12"/>
              <w:jc w:val="center"/>
              <w:rPr>
                <w:rFonts w:eastAsia="Lucida Sans Unicode"/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Eil. Nr.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ind w:hanging="12"/>
              <w:jc w:val="center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Paskirties arba naudojimo būdo kodas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jc w:val="center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Paskirties arba naudojimo būdo pavadinimas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jc w:val="center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Žemės mokesčio tarifas proc.</w:t>
            </w:r>
          </w:p>
        </w:tc>
      </w:tr>
      <w:tr w:rsidR="00676C75" w:rsidRPr="00676C75" w:rsidTr="00676C75">
        <w:trPr>
          <w:trHeight w:val="2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jc w:val="center"/>
              <w:rPr>
                <w:b/>
                <w:kern w:val="2"/>
                <w:szCs w:val="24"/>
                <w:lang w:eastAsia="ar-SA"/>
              </w:rPr>
            </w:pPr>
            <w:r w:rsidRPr="00676C75">
              <w:rPr>
                <w:b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jc w:val="center"/>
              <w:rPr>
                <w:b/>
                <w:kern w:val="2"/>
                <w:szCs w:val="24"/>
                <w:lang w:eastAsia="ar-SA"/>
              </w:rPr>
            </w:pPr>
            <w:r w:rsidRPr="00676C75">
              <w:rPr>
                <w:b/>
                <w:szCs w:val="24"/>
              </w:rPr>
              <w:t>2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jc w:val="center"/>
              <w:rPr>
                <w:b/>
                <w:kern w:val="2"/>
                <w:szCs w:val="24"/>
                <w:lang w:eastAsia="ar-SA"/>
              </w:rPr>
            </w:pPr>
            <w:r w:rsidRPr="00676C75">
              <w:rPr>
                <w:b/>
                <w:szCs w:val="24"/>
              </w:rPr>
              <w:t>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jc w:val="center"/>
              <w:rPr>
                <w:b/>
                <w:kern w:val="2"/>
                <w:szCs w:val="24"/>
                <w:lang w:eastAsia="ar-SA"/>
              </w:rPr>
            </w:pPr>
            <w:r w:rsidRPr="00676C75">
              <w:rPr>
                <w:b/>
                <w:szCs w:val="24"/>
              </w:rPr>
              <w:t>4</w:t>
            </w:r>
          </w:p>
        </w:tc>
      </w:tr>
      <w:tr w:rsidR="00676C75" w:rsidRPr="00676C75" w:rsidTr="00676C75">
        <w:trPr>
          <w:trHeight w:val="34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rPr>
                <w:b/>
                <w:bCs/>
                <w:kern w:val="2"/>
                <w:szCs w:val="24"/>
                <w:lang w:eastAsia="ar-SA"/>
              </w:rPr>
            </w:pPr>
            <w:r w:rsidRPr="00676C75">
              <w:rPr>
                <w:b/>
                <w:bCs/>
                <w:szCs w:val="24"/>
              </w:rPr>
              <w:t>1.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jc w:val="center"/>
              <w:rPr>
                <w:b/>
                <w:bCs/>
                <w:kern w:val="2"/>
                <w:szCs w:val="24"/>
                <w:lang w:eastAsia="ar-SA"/>
              </w:rPr>
            </w:pPr>
            <w:r w:rsidRPr="00676C75">
              <w:rPr>
                <w:b/>
                <w:bCs/>
                <w:szCs w:val="24"/>
              </w:rPr>
              <w:t>610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rPr>
                <w:b/>
                <w:bCs/>
                <w:kern w:val="2"/>
                <w:szCs w:val="24"/>
                <w:lang w:eastAsia="ar-SA"/>
              </w:rPr>
            </w:pPr>
            <w:r w:rsidRPr="00676C75">
              <w:rPr>
                <w:b/>
                <w:bCs/>
                <w:szCs w:val="24"/>
              </w:rPr>
              <w:t>Žemės ūkio paskirties sklypai</w:t>
            </w: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jc w:val="center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0,1</w:t>
            </w:r>
          </w:p>
        </w:tc>
      </w:tr>
      <w:tr w:rsidR="00676C75" w:rsidRPr="00676C75" w:rsidTr="00676C75">
        <w:trPr>
          <w:trHeight w:val="375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rPr>
                <w:b/>
                <w:bCs/>
                <w:kern w:val="2"/>
                <w:szCs w:val="24"/>
                <w:lang w:eastAsia="ar-SA"/>
              </w:rPr>
            </w:pPr>
            <w:r w:rsidRPr="00676C75">
              <w:rPr>
                <w:b/>
                <w:bCs/>
                <w:szCs w:val="24"/>
              </w:rPr>
              <w:t>2.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jc w:val="center"/>
              <w:rPr>
                <w:b/>
                <w:bCs/>
                <w:kern w:val="2"/>
                <w:szCs w:val="24"/>
                <w:lang w:eastAsia="ar-SA"/>
              </w:rPr>
            </w:pPr>
            <w:r w:rsidRPr="00676C75">
              <w:rPr>
                <w:b/>
                <w:bCs/>
                <w:szCs w:val="24"/>
              </w:rPr>
              <w:t>710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rPr>
                <w:b/>
                <w:bCs/>
                <w:kern w:val="2"/>
                <w:szCs w:val="24"/>
                <w:lang w:eastAsia="ar-SA"/>
              </w:rPr>
            </w:pPr>
            <w:r w:rsidRPr="00676C75">
              <w:rPr>
                <w:b/>
                <w:bCs/>
                <w:szCs w:val="24"/>
              </w:rPr>
              <w:t>Miškų ūkio paskirties sklypai</w:t>
            </w: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jc w:val="center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0,1</w:t>
            </w:r>
          </w:p>
        </w:tc>
      </w:tr>
      <w:tr w:rsidR="00676C75" w:rsidRPr="00676C75" w:rsidTr="00676C75">
        <w:trPr>
          <w:trHeight w:val="345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rPr>
                <w:b/>
                <w:bCs/>
                <w:kern w:val="2"/>
                <w:szCs w:val="24"/>
                <w:lang w:eastAsia="ar-SA"/>
              </w:rPr>
            </w:pPr>
            <w:r w:rsidRPr="00676C75">
              <w:rPr>
                <w:b/>
                <w:bCs/>
                <w:szCs w:val="24"/>
              </w:rPr>
              <w:t>3.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jc w:val="center"/>
              <w:rPr>
                <w:b/>
                <w:bCs/>
                <w:kern w:val="2"/>
                <w:szCs w:val="24"/>
                <w:lang w:eastAsia="ar-SA"/>
              </w:rPr>
            </w:pPr>
            <w:r w:rsidRPr="00676C75">
              <w:rPr>
                <w:b/>
                <w:bCs/>
                <w:szCs w:val="24"/>
              </w:rPr>
              <w:t>995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rPr>
                <w:b/>
                <w:bCs/>
                <w:kern w:val="2"/>
                <w:szCs w:val="24"/>
                <w:lang w:eastAsia="ar-SA"/>
              </w:rPr>
            </w:pPr>
            <w:r w:rsidRPr="00676C75">
              <w:rPr>
                <w:b/>
                <w:bCs/>
                <w:szCs w:val="24"/>
              </w:rPr>
              <w:t>Kitos paskirties žemės sklypai</w:t>
            </w: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jc w:val="center"/>
              <w:rPr>
                <w:kern w:val="2"/>
                <w:szCs w:val="24"/>
                <w:lang w:eastAsia="ar-SA"/>
              </w:rPr>
            </w:pPr>
          </w:p>
        </w:tc>
      </w:tr>
      <w:tr w:rsidR="00676C75" w:rsidRPr="00676C75" w:rsidTr="00676C75">
        <w:trPr>
          <w:trHeight w:val="22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3.1.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jc w:val="center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314, 327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Gyvenamosios teritorijos</w:t>
            </w: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jc w:val="center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0,2</w:t>
            </w:r>
          </w:p>
        </w:tc>
      </w:tr>
      <w:tr w:rsidR="00676C75" w:rsidRPr="00676C75" w:rsidTr="00676C75">
        <w:trPr>
          <w:trHeight w:val="22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3.2.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jc w:val="center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315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Visuomeninės paskirties teritorijos</w:t>
            </w: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jc w:val="center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0,2</w:t>
            </w:r>
          </w:p>
        </w:tc>
      </w:tr>
      <w:tr w:rsidR="00676C75" w:rsidRPr="00676C75" w:rsidTr="00676C75">
        <w:trPr>
          <w:trHeight w:val="22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3.3.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jc w:val="center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316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Pramonės ir sandėliavimo objektų teritorijos</w:t>
            </w: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jc w:val="center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0,4</w:t>
            </w:r>
          </w:p>
        </w:tc>
      </w:tr>
      <w:tr w:rsidR="00676C75" w:rsidRPr="00676C75" w:rsidTr="00676C75">
        <w:trPr>
          <w:trHeight w:val="22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3.4.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jc w:val="center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317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Komercinės paskirties objektų teritorijos</w:t>
            </w: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jc w:val="center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0,4</w:t>
            </w:r>
          </w:p>
        </w:tc>
      </w:tr>
      <w:tr w:rsidR="00676C75" w:rsidRPr="00676C75" w:rsidTr="00676C75">
        <w:trPr>
          <w:trHeight w:val="22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3.5.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jc w:val="center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318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Inžinerinės infrastruktūros teritorijos</w:t>
            </w: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jc w:val="center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0,4</w:t>
            </w:r>
          </w:p>
        </w:tc>
      </w:tr>
      <w:tr w:rsidR="00676C75" w:rsidRPr="00676C75" w:rsidTr="00676C75">
        <w:trPr>
          <w:trHeight w:val="22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3.6.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jc w:val="center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319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Rekreacinės teritorijos</w:t>
            </w: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jc w:val="center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0,4</w:t>
            </w:r>
          </w:p>
        </w:tc>
      </w:tr>
      <w:tr w:rsidR="00676C75" w:rsidRPr="00676C75" w:rsidTr="00676C75">
        <w:trPr>
          <w:trHeight w:val="22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3.7.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jc w:val="center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320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Bendro naudojimo teritorijos</w:t>
            </w: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jc w:val="center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0,2</w:t>
            </w:r>
          </w:p>
        </w:tc>
      </w:tr>
      <w:tr w:rsidR="00676C75" w:rsidRPr="00676C75" w:rsidTr="00676C75">
        <w:trPr>
          <w:trHeight w:val="22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3.8.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jc w:val="center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323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Atliekų saugojimo, rūšiavimo ir utilizavimo (sąvartynai) teritorijos</w:t>
            </w: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jc w:val="center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0,4</w:t>
            </w:r>
          </w:p>
        </w:tc>
      </w:tr>
      <w:tr w:rsidR="00676C75" w:rsidRPr="00676C75" w:rsidTr="00676C75">
        <w:trPr>
          <w:trHeight w:val="22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3.9.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jc w:val="center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330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Vienbučių ir dvibučių gyvenamųjų pastatų teritorijos</w:t>
            </w: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jc w:val="center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0,2</w:t>
            </w:r>
          </w:p>
        </w:tc>
      </w:tr>
      <w:tr w:rsidR="00676C75" w:rsidRPr="00676C75" w:rsidTr="00676C75">
        <w:trPr>
          <w:trHeight w:val="22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3.10.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jc w:val="center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331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Daugiabučių gyvenamųjų pastatų ir bendrabučių teritorijos</w:t>
            </w: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jc w:val="center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0,2</w:t>
            </w:r>
          </w:p>
        </w:tc>
      </w:tr>
      <w:tr w:rsidR="00676C75" w:rsidRPr="00676C75" w:rsidTr="00676C75">
        <w:trPr>
          <w:trHeight w:val="22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3.11.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jc w:val="center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332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Susisiekimo ir inžinerinių komunikacijų priežiūros objektų teritorijos</w:t>
            </w: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jc w:val="center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0,4</w:t>
            </w:r>
          </w:p>
        </w:tc>
      </w:tr>
      <w:tr w:rsidR="00676C75" w:rsidRPr="00676C75" w:rsidTr="00676C75">
        <w:trPr>
          <w:trHeight w:val="406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3.12.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jc w:val="center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333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Susisiekimo ir inžinerinių tinklų koridorių teritorijos</w:t>
            </w: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jc w:val="center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0,2</w:t>
            </w:r>
          </w:p>
        </w:tc>
      </w:tr>
      <w:tr w:rsidR="00676C75" w:rsidRPr="00676C75" w:rsidTr="00676C75">
        <w:trPr>
          <w:trHeight w:val="60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rPr>
                <w:b/>
                <w:bCs/>
                <w:kern w:val="2"/>
                <w:szCs w:val="24"/>
                <w:lang w:eastAsia="ar-SA"/>
              </w:rPr>
            </w:pPr>
            <w:r w:rsidRPr="00676C75">
              <w:rPr>
                <w:b/>
                <w:bCs/>
                <w:szCs w:val="24"/>
              </w:rPr>
              <w:t>4.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Visa kita lentelės 1–3 punktuose nenurodyta  žemė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75" w:rsidRPr="00676C75" w:rsidRDefault="00676C75">
            <w:pPr>
              <w:suppressAutoHyphens/>
              <w:snapToGrid w:val="0"/>
              <w:spacing w:line="100" w:lineRule="atLeast"/>
              <w:jc w:val="center"/>
              <w:rPr>
                <w:kern w:val="2"/>
                <w:szCs w:val="24"/>
                <w:lang w:eastAsia="ar-SA"/>
              </w:rPr>
            </w:pPr>
            <w:r w:rsidRPr="00676C75">
              <w:rPr>
                <w:szCs w:val="24"/>
              </w:rPr>
              <w:t>0,4</w:t>
            </w:r>
          </w:p>
        </w:tc>
      </w:tr>
    </w:tbl>
    <w:p w:rsidR="00676C75" w:rsidRPr="00676C75" w:rsidRDefault="00676C75" w:rsidP="00676C75">
      <w:pPr>
        <w:spacing w:line="100" w:lineRule="atLeast"/>
        <w:rPr>
          <w:rFonts w:ascii="Calibri" w:eastAsia="Lucida Sans Unicode" w:hAnsi="Calibri" w:cs="font241"/>
          <w:kern w:val="2"/>
          <w:sz w:val="22"/>
          <w:szCs w:val="22"/>
          <w:lang w:eastAsia="ar-SA"/>
        </w:rPr>
      </w:pPr>
    </w:p>
    <w:p w:rsidR="00D75264" w:rsidRPr="00676C75" w:rsidRDefault="00676C75" w:rsidP="00676C75">
      <w:pPr>
        <w:spacing w:line="100" w:lineRule="atLeast"/>
        <w:jc w:val="center"/>
        <w:rPr>
          <w:szCs w:val="24"/>
          <w:lang w:eastAsia="ar-SA"/>
        </w:rPr>
      </w:pPr>
      <w:r w:rsidRPr="00676C75">
        <w:rPr>
          <w:szCs w:val="24"/>
        </w:rPr>
        <w:t>______________________________</w:t>
      </w:r>
    </w:p>
    <w:sectPr w:rsidR="00D75264" w:rsidRPr="00676C75" w:rsidSect="00D75264">
      <w:pgSz w:w="11906" w:h="16838"/>
      <w:pgMar w:top="1134" w:right="567" w:bottom="1134" w:left="1701" w:header="113" w:footer="720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264" w:rsidRDefault="00676C75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separator/>
      </w:r>
    </w:p>
  </w:endnote>
  <w:endnote w:type="continuationSeparator" w:id="1">
    <w:p w:rsidR="00D75264" w:rsidRDefault="00676C75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4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264" w:rsidRDefault="00676C75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separator/>
      </w:r>
    </w:p>
  </w:footnote>
  <w:footnote w:type="continuationSeparator" w:id="1">
    <w:p w:rsidR="00D75264" w:rsidRDefault="00676C75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396"/>
  <w:doNotHyphenateCaps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C0897"/>
    <w:rsid w:val="00676C75"/>
    <w:rsid w:val="00BC0897"/>
    <w:rsid w:val="00D75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75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7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26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676C75"/>
    <w:rPr>
      <w:color w:val="808080"/>
    </w:rPr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theme" Target="theme/theme1.xml"/>
  <Relationship Id="rId11" Type="http://schemas.microsoft.com/office/2007/relationships/stylesWithEffects" Target="stylesWithEffect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fontTable" Target="fontTable.xml"/>
  <Relationship Id="rId9" Type="http://schemas.openxmlformats.org/officeDocument/2006/relationships/glossaryDocument" Target="glossary/document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9C73D-4EF5-46C9-8BC4-4BFEE8E890E5}"/>
      </w:docPartPr>
      <w:docPartBody>
        <w:p w:rsidR="00000000" w:rsidRDefault="005B1F36">
          <w:r w:rsidRPr="005640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4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B1F36"/>
    <w:rsid w:val="005B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B1F3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/>
  <LinksUpToDate>false</LinksUpToDate>
  <CharactersWithSpaces>2714</CharactersWithSpaces>
  <SharedDoc>false</SharedDoc>
  <HyperlinkBase/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2018-05-03T18:28:00Z</dcterms:created>
  <dc:creator>Demo</dc:creator>
  <lastModifiedBy>User</lastModifiedBy>
  <lastPrinted>2017-10-24T14:53:00Z</lastPrinted>
  <dcterms:modified xsi:type="dcterms:W3CDTF">2018-05-04T11:24:00Z</dcterms:modified>
  <revision>3</revision>
  <dc:title>Projektas</dc:title>
</coreProperties>
</file>