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4D2E" w14:textId="77777777" w:rsidR="008F4D0D" w:rsidRPr="00F33A24" w:rsidRDefault="00F33A24">
      <w:pPr>
        <w:suppressAutoHyphens/>
        <w:spacing w:line="252" w:lineRule="auto"/>
        <w:jc w:val="center"/>
        <w:rPr>
          <w:sz w:val="20"/>
          <w:szCs w:val="24"/>
          <w:lang w:eastAsia="zh-CN"/>
        </w:rPr>
      </w:pPr>
      <w:r w:rsidRPr="00F33A24">
        <w:rPr>
          <w:noProof/>
          <w:sz w:val="20"/>
          <w:szCs w:val="24"/>
          <w:lang w:eastAsia="lt-LT"/>
        </w:rPr>
        <w:drawing>
          <wp:inline distT="0" distB="0" distL="0" distR="0" wp14:anchorId="749A4D5B" wp14:editId="749A4D5C">
            <wp:extent cx="5619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14:paraId="749A4D30" w14:textId="77777777" w:rsidR="008F4D0D" w:rsidRPr="00F33A24" w:rsidRDefault="00F33A24">
      <w:pPr>
        <w:suppressAutoHyphens/>
        <w:spacing w:line="252" w:lineRule="auto"/>
        <w:jc w:val="center"/>
        <w:rPr>
          <w:sz w:val="20"/>
          <w:szCs w:val="24"/>
          <w:lang w:eastAsia="zh-CN"/>
        </w:rPr>
      </w:pPr>
      <w:r w:rsidRPr="00F33A24">
        <w:rPr>
          <w:b/>
          <w:szCs w:val="24"/>
          <w:lang w:eastAsia="zh-CN"/>
        </w:rPr>
        <w:t>LIETUVOS POLICIJOS GENERALINIS KOMISARAS</w:t>
      </w:r>
    </w:p>
    <w:p w14:paraId="749A4D31" w14:textId="77777777" w:rsidR="008F4D0D" w:rsidRPr="00F33A24" w:rsidRDefault="008F4D0D">
      <w:pPr>
        <w:suppressAutoHyphens/>
        <w:spacing w:line="252" w:lineRule="auto"/>
        <w:jc w:val="center"/>
        <w:rPr>
          <w:b/>
          <w:spacing w:val="60"/>
          <w:szCs w:val="24"/>
          <w:lang w:eastAsia="zh-CN"/>
        </w:rPr>
      </w:pPr>
    </w:p>
    <w:p w14:paraId="749A4D32" w14:textId="77777777" w:rsidR="008F4D0D" w:rsidRPr="00F33A24" w:rsidRDefault="00F33A24">
      <w:pPr>
        <w:widowControl w:val="0"/>
        <w:suppressAutoHyphens/>
        <w:spacing w:line="252" w:lineRule="auto"/>
        <w:jc w:val="center"/>
        <w:rPr>
          <w:szCs w:val="24"/>
          <w:lang w:eastAsia="zh-CN" w:bidi="hi-IN"/>
        </w:rPr>
      </w:pPr>
      <w:r w:rsidRPr="00F33A24">
        <w:rPr>
          <w:b/>
          <w:szCs w:val="24"/>
          <w:lang w:eastAsia="lt-LT" w:bidi="hi-IN"/>
        </w:rPr>
        <w:t>ĮSAKYMAS</w:t>
      </w:r>
    </w:p>
    <w:p w14:paraId="749A4D34" w14:textId="5CFABFC3" w:rsidR="008F4D0D" w:rsidRPr="00F33A24" w:rsidRDefault="00F33A24">
      <w:pPr>
        <w:widowControl w:val="0"/>
        <w:suppressAutoHyphens/>
        <w:spacing w:line="252" w:lineRule="auto"/>
        <w:jc w:val="center"/>
        <w:rPr>
          <w:szCs w:val="24"/>
          <w:lang w:eastAsia="zh-CN" w:bidi="hi-IN"/>
        </w:rPr>
      </w:pPr>
      <w:r w:rsidRPr="00F33A24">
        <w:rPr>
          <w:b/>
          <w:szCs w:val="24"/>
          <w:lang w:eastAsia="lt-LT" w:bidi="hi-IN"/>
        </w:rPr>
        <w:t>DĖL LIETUVOS POLICIJOS GENERALINIO KOMISARO</w:t>
      </w:r>
      <w:r>
        <w:rPr>
          <w:b/>
          <w:szCs w:val="24"/>
          <w:lang w:eastAsia="lt-LT" w:bidi="hi-IN"/>
        </w:rPr>
        <w:t xml:space="preserve"> </w:t>
      </w:r>
      <w:bookmarkStart w:id="0" w:name="_GoBack"/>
      <w:bookmarkEnd w:id="0"/>
      <w:r w:rsidRPr="00F33A24">
        <w:rPr>
          <w:b/>
          <w:color w:val="000000"/>
          <w:szCs w:val="24"/>
          <w:lang w:eastAsia="lt-LT" w:bidi="hi-IN"/>
        </w:rPr>
        <w:t>2009 M. KOVO 19 D. ĮSAKYMO NR. 5-V-200</w:t>
      </w:r>
      <w:r w:rsidRPr="00F33A24">
        <w:rPr>
          <w:szCs w:val="24"/>
          <w:lang w:eastAsia="zh-CN" w:bidi="hi-IN"/>
        </w:rPr>
        <w:t xml:space="preserve"> „</w:t>
      </w:r>
      <w:r w:rsidRPr="00F33A24">
        <w:rPr>
          <w:b/>
          <w:caps/>
          <w:szCs w:val="24"/>
          <w:highlight w:val="white"/>
          <w:lang w:eastAsia="zh-CN"/>
        </w:rPr>
        <w:t xml:space="preserve">DĖL POLICIJOS PAREIGŪNŲ VEIKSMŲ PRIIMANT SPRENDIMUS NušaliNTI nuo transporto priemonių vairavimo, PRIVERSTINAI </w:t>
      </w:r>
      <w:r w:rsidRPr="00F33A24">
        <w:rPr>
          <w:b/>
          <w:caps/>
          <w:szCs w:val="24"/>
          <w:highlight w:val="white"/>
          <w:lang w:eastAsia="zh-CN"/>
        </w:rPr>
        <w:t>NUVEŽTI TRANSPORTO PRIEMONę IR uždrauSTI toliau važiuoti TVARKOS APRAŠO PATVIRTINIMO</w:t>
      </w:r>
      <w:r w:rsidRPr="00F33A24">
        <w:rPr>
          <w:b/>
          <w:szCs w:val="24"/>
          <w:highlight w:val="white"/>
          <w:lang w:eastAsia="lt-LT" w:bidi="hi-IN"/>
        </w:rPr>
        <w:t xml:space="preserve">“ </w:t>
      </w:r>
      <w:r w:rsidRPr="00F33A24">
        <w:rPr>
          <w:b/>
          <w:szCs w:val="24"/>
          <w:lang w:eastAsia="lt-LT" w:bidi="hi-IN"/>
        </w:rPr>
        <w:t>PAK</w:t>
      </w:r>
      <w:r w:rsidRPr="00F33A24">
        <w:rPr>
          <w:b/>
          <w:color w:val="000000"/>
          <w:szCs w:val="24"/>
          <w:lang w:eastAsia="lt-LT" w:bidi="hi-IN"/>
        </w:rPr>
        <w:t>EITIMO</w:t>
      </w:r>
    </w:p>
    <w:p w14:paraId="749A4D35" w14:textId="77777777" w:rsidR="008F4D0D" w:rsidRPr="00F33A24" w:rsidRDefault="008F4D0D">
      <w:pPr>
        <w:suppressAutoHyphens/>
        <w:spacing w:line="252" w:lineRule="auto"/>
        <w:jc w:val="center"/>
        <w:rPr>
          <w:b/>
          <w:szCs w:val="24"/>
          <w:lang w:eastAsia="zh-CN"/>
        </w:rPr>
      </w:pPr>
    </w:p>
    <w:p w14:paraId="749A4D36" w14:textId="7FC02C83" w:rsidR="008F4D0D" w:rsidRPr="00F33A24" w:rsidRDefault="00F33A24">
      <w:pPr>
        <w:suppressAutoHyphens/>
        <w:spacing w:line="252" w:lineRule="auto"/>
        <w:jc w:val="center"/>
        <w:rPr>
          <w:sz w:val="20"/>
          <w:szCs w:val="24"/>
          <w:lang w:eastAsia="zh-CN"/>
        </w:rPr>
      </w:pPr>
      <w:r w:rsidRPr="00F33A24">
        <w:rPr>
          <w:szCs w:val="24"/>
          <w:lang w:eastAsia="zh-CN"/>
        </w:rPr>
        <w:t>2018 m. birželio 18</w:t>
      </w:r>
      <w:r w:rsidRPr="00F33A24">
        <w:rPr>
          <w:szCs w:val="24"/>
          <w:lang w:eastAsia="zh-CN"/>
        </w:rPr>
        <w:t xml:space="preserve"> d. Nr. 5-V-565</w:t>
      </w:r>
    </w:p>
    <w:p w14:paraId="749A4D37" w14:textId="77777777" w:rsidR="008F4D0D" w:rsidRPr="00F33A24" w:rsidRDefault="00F33A24">
      <w:pPr>
        <w:suppressAutoHyphens/>
        <w:spacing w:line="252" w:lineRule="auto"/>
        <w:jc w:val="center"/>
        <w:rPr>
          <w:sz w:val="20"/>
          <w:szCs w:val="24"/>
          <w:lang w:eastAsia="zh-CN"/>
        </w:rPr>
      </w:pPr>
      <w:r w:rsidRPr="00F33A24">
        <w:rPr>
          <w:szCs w:val="24"/>
          <w:lang w:eastAsia="zh-CN"/>
        </w:rPr>
        <w:t>Vilnius</w:t>
      </w:r>
    </w:p>
    <w:p w14:paraId="749A4D38" w14:textId="77777777" w:rsidR="008F4D0D" w:rsidRPr="00F33A24" w:rsidRDefault="008F4D0D">
      <w:pPr>
        <w:suppressAutoHyphens/>
        <w:spacing w:line="252" w:lineRule="auto"/>
        <w:jc w:val="both"/>
        <w:rPr>
          <w:sz w:val="20"/>
          <w:szCs w:val="24"/>
          <w:lang w:eastAsia="zh-CN"/>
        </w:rPr>
      </w:pPr>
    </w:p>
    <w:p w14:paraId="749A4D39" w14:textId="77777777" w:rsidR="008F4D0D" w:rsidRPr="00F33A24" w:rsidRDefault="008F4D0D">
      <w:pPr>
        <w:tabs>
          <w:tab w:val="left" w:pos="850"/>
        </w:tabs>
        <w:suppressAutoHyphens/>
        <w:spacing w:line="252" w:lineRule="auto"/>
        <w:ind w:firstLine="850"/>
        <w:jc w:val="both"/>
        <w:rPr>
          <w:sz w:val="20"/>
          <w:szCs w:val="24"/>
          <w:lang w:eastAsia="zh-CN"/>
        </w:rPr>
      </w:pPr>
    </w:p>
    <w:p w14:paraId="749A4D3A" w14:textId="2995E0B8" w:rsidR="008F4D0D" w:rsidRPr="00F33A24" w:rsidRDefault="00F33A24">
      <w:pPr>
        <w:tabs>
          <w:tab w:val="left" w:pos="850"/>
        </w:tabs>
        <w:suppressAutoHyphens/>
        <w:spacing w:line="252" w:lineRule="auto"/>
        <w:ind w:firstLine="850"/>
        <w:jc w:val="both"/>
        <w:rPr>
          <w:sz w:val="20"/>
          <w:szCs w:val="24"/>
          <w:lang w:eastAsia="zh-CN"/>
        </w:rPr>
      </w:pPr>
      <w:r w:rsidRPr="00F33A24">
        <w:rPr>
          <w:szCs w:val="24"/>
          <w:lang w:eastAsia="zh-CN"/>
        </w:rPr>
        <w:t>P a k e i č i u P</w:t>
      </w:r>
      <w:r w:rsidRPr="00F33A24">
        <w:rPr>
          <w:szCs w:val="24"/>
          <w:lang w:eastAsia="lt-LT"/>
        </w:rPr>
        <w:t>olicijos pareigūnų veiksmų priimant sprendimus nušalinti nuo transporto priemonių vairavimo, privers</w:t>
      </w:r>
      <w:r w:rsidRPr="00F33A24">
        <w:rPr>
          <w:szCs w:val="24"/>
          <w:lang w:eastAsia="lt-LT"/>
        </w:rPr>
        <w:t>tinai nuvežti transporto priemonę ir uždrausti toliau važiuoti tvarkos aprašą</w:t>
      </w:r>
      <w:r w:rsidRPr="00F33A24">
        <w:rPr>
          <w:szCs w:val="24"/>
          <w:lang w:eastAsia="zh-CN"/>
        </w:rPr>
        <w:t>, patvirtintą Lietuvos policijos generalinio komisaro 2009 m. kovo 19 d. įsakymu</w:t>
      </w:r>
      <w:r w:rsidRPr="00F33A24">
        <w:rPr>
          <w:szCs w:val="24"/>
          <w:lang w:eastAsia="zh-CN"/>
        </w:rPr>
        <w:t xml:space="preserve"> Nr. 5-V-200 „Dėl Policijos pareigūnų veiksmų priimant sprendimus n</w:t>
      </w:r>
      <w:r w:rsidRPr="00F33A24">
        <w:rPr>
          <w:szCs w:val="24"/>
          <w:lang w:eastAsia="lt-LT"/>
        </w:rPr>
        <w:t>ušalinti n</w:t>
      </w:r>
      <w:r w:rsidRPr="00F33A24">
        <w:rPr>
          <w:szCs w:val="24"/>
          <w:lang w:eastAsia="lt-LT"/>
        </w:rPr>
        <w:t>uo transporto priemonių vairavimo, priverstinai nuvežti transporto priemonę ir uždrausti toliau važiuoti tvarkos</w:t>
      </w:r>
      <w:r w:rsidRPr="00F33A24">
        <w:rPr>
          <w:szCs w:val="24"/>
          <w:lang w:eastAsia="zh-CN"/>
        </w:rPr>
        <w:t xml:space="preserve"> aprašo patvirtinimo“:</w:t>
      </w:r>
    </w:p>
    <w:p w14:paraId="749A4D3B" w14:textId="77777777" w:rsidR="008F4D0D" w:rsidRPr="00F33A24" w:rsidRDefault="00F33A24">
      <w:pPr>
        <w:tabs>
          <w:tab w:val="left" w:pos="720"/>
          <w:tab w:val="center" w:pos="4153"/>
          <w:tab w:val="center" w:pos="4819"/>
          <w:tab w:val="right" w:pos="8306"/>
          <w:tab w:val="right" w:pos="9638"/>
        </w:tabs>
        <w:spacing w:line="252" w:lineRule="auto"/>
        <w:ind w:firstLine="850"/>
        <w:jc w:val="both"/>
        <w:rPr>
          <w:sz w:val="20"/>
          <w:szCs w:val="24"/>
          <w:lang w:eastAsia="lt-LT"/>
        </w:rPr>
      </w:pPr>
      <w:r w:rsidRPr="00F33A24">
        <w:rPr>
          <w:szCs w:val="24"/>
          <w:lang w:eastAsia="lt-LT"/>
        </w:rPr>
        <w:t>1</w:t>
      </w:r>
      <w:r w:rsidRPr="00F33A24">
        <w:rPr>
          <w:szCs w:val="24"/>
          <w:lang w:eastAsia="lt-LT"/>
        </w:rPr>
        <w:t>. Pakeičiu 1 punktą ir jį išdėstau taip:</w:t>
      </w:r>
    </w:p>
    <w:p w14:paraId="749A4D3C" w14:textId="77777777" w:rsidR="008F4D0D" w:rsidRPr="00F33A24" w:rsidRDefault="00F33A24">
      <w:pPr>
        <w:tabs>
          <w:tab w:val="left" w:pos="850"/>
          <w:tab w:val="center" w:pos="4153"/>
          <w:tab w:val="center" w:pos="4819"/>
          <w:tab w:val="right" w:pos="8306"/>
          <w:tab w:val="right" w:pos="9638"/>
        </w:tabs>
        <w:spacing w:line="252" w:lineRule="auto"/>
        <w:ind w:firstLine="850"/>
        <w:jc w:val="both"/>
        <w:rPr>
          <w:sz w:val="20"/>
          <w:szCs w:val="24"/>
          <w:lang w:eastAsia="lt-LT"/>
        </w:rPr>
      </w:pPr>
      <w:r w:rsidRPr="00F33A24">
        <w:rPr>
          <w:szCs w:val="24"/>
          <w:lang w:eastAsia="lt-LT"/>
        </w:rPr>
        <w:t>„</w:t>
      </w:r>
      <w:r w:rsidRPr="00F33A24">
        <w:rPr>
          <w:szCs w:val="24"/>
          <w:lang w:eastAsia="lt-LT"/>
        </w:rPr>
        <w:t>1</w:t>
      </w:r>
      <w:r w:rsidRPr="00F33A24">
        <w:rPr>
          <w:szCs w:val="24"/>
          <w:lang w:eastAsia="lt-LT"/>
        </w:rPr>
        <w:t xml:space="preserve">. Policijos pareigūnų veiksmų priimant sprendimus nušalinti nuo </w:t>
      </w:r>
      <w:r w:rsidRPr="00F33A24">
        <w:rPr>
          <w:szCs w:val="24"/>
          <w:lang w:eastAsia="lt-LT"/>
        </w:rPr>
        <w:t>transporto priemonių vairavimo, priverstinai nuvežti transporto priemonę ir uždrausti toliau važiuoti tvarkos aprašas (toliau – Tvarkos aprašas) reglamentuoja policijos pareigūnų veiksmus, kai, vadovaujantis Lietuvos Respublikos policijos įstatymo 22 strai</w:t>
      </w:r>
      <w:r w:rsidRPr="00F33A24">
        <w:rPr>
          <w:szCs w:val="24"/>
          <w:lang w:eastAsia="lt-LT"/>
        </w:rPr>
        <w:t>psnio 1 dalies 7 punktu ir Lietuvos Respublikos administracinių nusižengimų kodekso (toliau – ANK) 605 straipsnio</w:t>
      </w:r>
      <w:r w:rsidRPr="00F33A24">
        <w:rPr>
          <w:b/>
          <w:szCs w:val="24"/>
          <w:lang w:eastAsia="lt-LT"/>
        </w:rPr>
        <w:t xml:space="preserve"> </w:t>
      </w:r>
      <w:r w:rsidRPr="00F33A24">
        <w:rPr>
          <w:szCs w:val="24"/>
          <w:lang w:eastAsia="lt-LT"/>
        </w:rPr>
        <w:t xml:space="preserve">1 dalimi, vairuotojai nušalinami nuo transporto priemonių vairavimo, transporto priemonė priverstinai nuvežama esant pagrindams, nustatytiems </w:t>
      </w:r>
      <w:r w:rsidRPr="00F33A24">
        <w:rPr>
          <w:szCs w:val="24"/>
          <w:lang w:eastAsia="lt-LT"/>
        </w:rPr>
        <w:t xml:space="preserve">ANK 603 straipsnyje ir (arba) Lietuvos Respublikos saugaus eismo automobilių keliais įstatymo (toliau – Įstatymas) 33 straipsnio 1 ir 4 dalyse, arba </w:t>
      </w:r>
      <w:r w:rsidRPr="00F33A24">
        <w:rPr>
          <w:kern w:val="1"/>
          <w:szCs w:val="24"/>
          <w:lang w:eastAsia="zh-CN"/>
        </w:rPr>
        <w:t>Įstatymo 33 straipsnio 1, 2 ir 3</w:t>
      </w:r>
      <w:r w:rsidRPr="00F33A24">
        <w:rPr>
          <w:b/>
          <w:kern w:val="1"/>
          <w:szCs w:val="24"/>
          <w:lang w:eastAsia="zh-CN"/>
        </w:rPr>
        <w:t xml:space="preserve"> </w:t>
      </w:r>
      <w:r w:rsidRPr="00F33A24">
        <w:rPr>
          <w:kern w:val="1"/>
          <w:szCs w:val="24"/>
          <w:lang w:eastAsia="zh-CN"/>
        </w:rPr>
        <w:t>dalyse nurodytais pagrindais uždraudžiama toliau važiuoti transporto priem</w:t>
      </w:r>
      <w:r w:rsidRPr="00F33A24">
        <w:rPr>
          <w:kern w:val="1"/>
          <w:szCs w:val="24"/>
          <w:lang w:eastAsia="zh-CN"/>
        </w:rPr>
        <w:t>one</w:t>
      </w:r>
      <w:r w:rsidRPr="00F33A24">
        <w:rPr>
          <w:szCs w:val="24"/>
          <w:lang w:eastAsia="lt-LT"/>
        </w:rPr>
        <w:t>.“</w:t>
      </w:r>
    </w:p>
    <w:p w14:paraId="749A4D3D" w14:textId="77777777" w:rsidR="008F4D0D" w:rsidRPr="00F33A24" w:rsidRDefault="00F33A24">
      <w:pPr>
        <w:tabs>
          <w:tab w:val="left" w:pos="720"/>
          <w:tab w:val="center" w:pos="4153"/>
          <w:tab w:val="center" w:pos="4819"/>
          <w:tab w:val="right" w:pos="8306"/>
          <w:tab w:val="right" w:pos="9638"/>
        </w:tabs>
        <w:spacing w:line="252" w:lineRule="auto"/>
        <w:ind w:firstLine="850"/>
        <w:jc w:val="both"/>
        <w:rPr>
          <w:sz w:val="20"/>
          <w:szCs w:val="24"/>
          <w:lang w:eastAsia="lt-LT"/>
        </w:rPr>
      </w:pPr>
      <w:r w:rsidRPr="00F33A24">
        <w:rPr>
          <w:szCs w:val="24"/>
          <w:lang w:eastAsia="lt-LT"/>
        </w:rPr>
        <w:t>2</w:t>
      </w:r>
      <w:r w:rsidRPr="00F33A24">
        <w:rPr>
          <w:szCs w:val="24"/>
          <w:lang w:eastAsia="lt-LT"/>
        </w:rPr>
        <w:t>. P</w:t>
      </w:r>
      <w:r w:rsidRPr="00F33A24">
        <w:rPr>
          <w:color w:val="00000A"/>
          <w:szCs w:val="24"/>
          <w:highlight w:val="white"/>
        </w:rPr>
        <w:t>akeičiu V skyrių ir jį išdėstau taip:</w:t>
      </w:r>
    </w:p>
    <w:p w14:paraId="749A4D3E" w14:textId="77777777" w:rsidR="008F4D0D" w:rsidRPr="00F33A24" w:rsidRDefault="008F4D0D">
      <w:pPr>
        <w:tabs>
          <w:tab w:val="left" w:pos="720"/>
          <w:tab w:val="center" w:pos="4153"/>
          <w:tab w:val="center" w:pos="4819"/>
          <w:tab w:val="right" w:pos="8306"/>
          <w:tab w:val="right" w:pos="9638"/>
        </w:tabs>
        <w:spacing w:line="252" w:lineRule="auto"/>
        <w:ind w:firstLine="1080"/>
        <w:jc w:val="both"/>
        <w:rPr>
          <w:color w:val="00000A"/>
          <w:szCs w:val="24"/>
          <w:highlight w:val="white"/>
        </w:rPr>
      </w:pPr>
    </w:p>
    <w:p w14:paraId="749A4D3F" w14:textId="77777777" w:rsidR="008F4D0D" w:rsidRPr="00F33A24" w:rsidRDefault="00F33A24">
      <w:pPr>
        <w:tabs>
          <w:tab w:val="left" w:pos="720"/>
          <w:tab w:val="center" w:pos="4153"/>
          <w:tab w:val="center" w:pos="4819"/>
          <w:tab w:val="right" w:pos="8306"/>
          <w:tab w:val="right" w:pos="9638"/>
        </w:tabs>
        <w:spacing w:line="252" w:lineRule="auto"/>
        <w:jc w:val="center"/>
        <w:rPr>
          <w:sz w:val="20"/>
          <w:szCs w:val="24"/>
          <w:lang w:eastAsia="lt-LT"/>
        </w:rPr>
      </w:pPr>
      <w:r w:rsidRPr="00F33A24">
        <w:rPr>
          <w:color w:val="00000A"/>
          <w:szCs w:val="24"/>
          <w:highlight w:val="white"/>
        </w:rPr>
        <w:t>„</w:t>
      </w:r>
      <w:r w:rsidRPr="00F33A24">
        <w:rPr>
          <w:b/>
          <w:color w:val="00000A"/>
          <w:szCs w:val="24"/>
          <w:highlight w:val="white"/>
          <w:lang w:eastAsia="lt-LT"/>
        </w:rPr>
        <w:t>V</w:t>
      </w:r>
      <w:r w:rsidRPr="00F33A24">
        <w:rPr>
          <w:b/>
          <w:color w:val="00000A"/>
          <w:szCs w:val="24"/>
          <w:highlight w:val="white"/>
          <w:lang w:eastAsia="lt-LT"/>
        </w:rPr>
        <w:t xml:space="preserve"> SKYRIUS</w:t>
      </w:r>
    </w:p>
    <w:p w14:paraId="749A4D40" w14:textId="77777777" w:rsidR="008F4D0D" w:rsidRPr="00F33A24" w:rsidRDefault="00F33A24">
      <w:pPr>
        <w:tabs>
          <w:tab w:val="left" w:pos="720"/>
          <w:tab w:val="center" w:pos="4153"/>
          <w:tab w:val="center" w:pos="4819"/>
          <w:tab w:val="right" w:pos="8306"/>
          <w:tab w:val="right" w:pos="9638"/>
        </w:tabs>
        <w:spacing w:line="252" w:lineRule="auto"/>
        <w:jc w:val="center"/>
        <w:rPr>
          <w:sz w:val="20"/>
          <w:szCs w:val="24"/>
          <w:lang w:eastAsia="lt-LT"/>
        </w:rPr>
      </w:pPr>
      <w:r w:rsidRPr="00F33A24">
        <w:rPr>
          <w:b/>
          <w:color w:val="00000A"/>
          <w:kern w:val="1"/>
          <w:szCs w:val="24"/>
          <w:highlight w:val="white"/>
        </w:rPr>
        <w:t>UŽDRAUDIMAS TOLIAU VAŽIUOTI</w:t>
      </w:r>
    </w:p>
    <w:p w14:paraId="749A4D41" w14:textId="77777777" w:rsidR="008F4D0D" w:rsidRPr="00F33A24" w:rsidRDefault="008F4D0D">
      <w:pPr>
        <w:suppressAutoHyphens/>
        <w:spacing w:line="252" w:lineRule="auto"/>
        <w:jc w:val="center"/>
        <w:rPr>
          <w:szCs w:val="24"/>
          <w:lang w:eastAsia="zh-CN"/>
        </w:rPr>
      </w:pPr>
    </w:p>
    <w:p w14:paraId="749A4D42"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24</w:t>
      </w:r>
      <w:r w:rsidRPr="00F33A24">
        <w:rPr>
          <w:kern w:val="1"/>
          <w:szCs w:val="24"/>
          <w:lang w:eastAsia="zh-CN" w:bidi="hi-IN"/>
        </w:rPr>
        <w:t xml:space="preserve">. Policijos pareigūnas, nustatęs Įstatymo 33 straipsnio 1, 2 ir 3 dalyse nurodytus pagrindus, gali uždrausti toliau važiuoti transporto priemone, kai </w:t>
      </w:r>
      <w:r w:rsidRPr="00F33A24">
        <w:rPr>
          <w:kern w:val="1"/>
          <w:szCs w:val="24"/>
          <w:lang w:eastAsia="zh-CN" w:bidi="hi-IN"/>
        </w:rPr>
        <w:t>nustatomas:</w:t>
      </w:r>
    </w:p>
    <w:p w14:paraId="749A4D43"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rFonts w:eastAsia="SimSun"/>
          <w:kern w:val="1"/>
          <w:szCs w:val="24"/>
          <w:lang w:eastAsia="zh-CN" w:bidi="hi-IN"/>
        </w:rPr>
        <w:t>24.1</w:t>
      </w:r>
      <w:r w:rsidRPr="00F33A24">
        <w:rPr>
          <w:rFonts w:eastAsia="SimSun"/>
          <w:kern w:val="1"/>
          <w:szCs w:val="24"/>
          <w:lang w:eastAsia="zh-CN" w:bidi="hi-IN"/>
        </w:rPr>
        <w:t>.</w:t>
      </w:r>
      <w:r w:rsidRPr="00F33A24">
        <w:rPr>
          <w:kern w:val="1"/>
          <w:szCs w:val="24"/>
          <w:lang w:eastAsia="zh-CN" w:bidi="hi-IN"/>
        </w:rPr>
        <w:t xml:space="preserve"> Kelių eismo taisyklėse nurodytas techninės būklės pažeidimas, dėl kurio važiuoti draudžiama;</w:t>
      </w:r>
    </w:p>
    <w:p w14:paraId="749A4D44"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24.2</w:t>
      </w:r>
      <w:r w:rsidRPr="00F33A24">
        <w:rPr>
          <w:kern w:val="1"/>
          <w:szCs w:val="24"/>
          <w:lang w:eastAsia="zh-CN" w:bidi="hi-IN"/>
        </w:rPr>
        <w:t>. N</w:t>
      </w:r>
      <w:r w:rsidRPr="00F33A24">
        <w:rPr>
          <w:kern w:val="1"/>
          <w:position w:val="-8"/>
          <w:szCs w:val="24"/>
          <w:lang w:eastAsia="zh-CN" w:bidi="hi-IN"/>
        </w:rPr>
        <w:t>2</w:t>
      </w:r>
      <w:r w:rsidRPr="00F33A24">
        <w:rPr>
          <w:kern w:val="1"/>
          <w:szCs w:val="24"/>
          <w:lang w:eastAsia="zh-CN" w:bidi="hi-IN"/>
        </w:rPr>
        <w:t>, N</w:t>
      </w:r>
      <w:r w:rsidRPr="00F33A24">
        <w:rPr>
          <w:kern w:val="1"/>
          <w:position w:val="-8"/>
          <w:szCs w:val="24"/>
          <w:lang w:eastAsia="zh-CN" w:bidi="hi-IN"/>
        </w:rPr>
        <w:t>3</w:t>
      </w:r>
      <w:r w:rsidRPr="00F33A24">
        <w:rPr>
          <w:kern w:val="1"/>
          <w:szCs w:val="24"/>
          <w:lang w:eastAsia="zh-CN" w:bidi="hi-IN"/>
        </w:rPr>
        <w:t>, O</w:t>
      </w:r>
      <w:r w:rsidRPr="00F33A24">
        <w:rPr>
          <w:kern w:val="1"/>
          <w:position w:val="-8"/>
          <w:szCs w:val="24"/>
          <w:lang w:eastAsia="zh-CN" w:bidi="hi-IN"/>
        </w:rPr>
        <w:t>3</w:t>
      </w:r>
      <w:r w:rsidRPr="00F33A24">
        <w:rPr>
          <w:kern w:val="1"/>
          <w:szCs w:val="24"/>
          <w:lang w:eastAsia="zh-CN" w:bidi="hi-IN"/>
        </w:rPr>
        <w:t xml:space="preserve"> ir O</w:t>
      </w:r>
      <w:r w:rsidRPr="00F33A24">
        <w:rPr>
          <w:kern w:val="1"/>
          <w:position w:val="-8"/>
          <w:szCs w:val="24"/>
          <w:lang w:eastAsia="zh-CN" w:bidi="hi-IN"/>
        </w:rPr>
        <w:t xml:space="preserve">4 </w:t>
      </w:r>
      <w:r w:rsidRPr="00F33A24">
        <w:rPr>
          <w:kern w:val="1"/>
          <w:szCs w:val="24"/>
          <w:lang w:eastAsia="zh-CN" w:bidi="hi-IN"/>
        </w:rPr>
        <w:t xml:space="preserve">klasių transporto priemonių didelis transporto priemonės trūkumas ir (ar) pavojingas transporto priemonės trūkumas, susijęs su krovinio išdėstymu ir (ar) jo pritvirtinimu; </w:t>
      </w:r>
    </w:p>
    <w:p w14:paraId="749A4D45"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24.3</w:t>
      </w:r>
      <w:r w:rsidRPr="00F33A24">
        <w:rPr>
          <w:kern w:val="1"/>
          <w:szCs w:val="24"/>
          <w:lang w:eastAsia="zh-CN" w:bidi="hi-IN"/>
        </w:rPr>
        <w:t>. keleivių vežimo tvarkos pažeidimas;</w:t>
      </w:r>
    </w:p>
    <w:p w14:paraId="749A4D46"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24.4</w:t>
      </w:r>
      <w:r w:rsidRPr="00F33A24">
        <w:rPr>
          <w:kern w:val="1"/>
          <w:szCs w:val="24"/>
          <w:lang w:eastAsia="zh-CN" w:bidi="hi-IN"/>
        </w:rPr>
        <w:t>. vairuotojų vairavimo ir poi</w:t>
      </w:r>
      <w:r w:rsidRPr="00F33A24">
        <w:rPr>
          <w:kern w:val="1"/>
          <w:szCs w:val="24"/>
          <w:lang w:eastAsia="zh-CN" w:bidi="hi-IN"/>
        </w:rPr>
        <w:t>lsio režimo reikalavimų pažeidimas;</w:t>
      </w:r>
    </w:p>
    <w:p w14:paraId="749A4D47"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24.5</w:t>
      </w:r>
      <w:r w:rsidRPr="00F33A24">
        <w:rPr>
          <w:kern w:val="1"/>
          <w:szCs w:val="24"/>
          <w:lang w:eastAsia="zh-CN" w:bidi="hi-IN"/>
        </w:rPr>
        <w:t>. pradinio techninio patikrinimo kelyje metu M</w:t>
      </w:r>
      <w:r w:rsidRPr="00F33A24">
        <w:rPr>
          <w:kern w:val="1"/>
          <w:position w:val="-8"/>
          <w:szCs w:val="24"/>
          <w:lang w:eastAsia="zh-CN" w:bidi="hi-IN"/>
        </w:rPr>
        <w:t>2</w:t>
      </w:r>
      <w:r w:rsidRPr="00F33A24">
        <w:rPr>
          <w:kern w:val="1"/>
          <w:szCs w:val="24"/>
          <w:lang w:eastAsia="zh-CN" w:bidi="hi-IN"/>
        </w:rPr>
        <w:t>, M</w:t>
      </w:r>
      <w:r w:rsidRPr="00F33A24">
        <w:rPr>
          <w:kern w:val="1"/>
          <w:position w:val="-8"/>
          <w:szCs w:val="24"/>
          <w:lang w:eastAsia="zh-CN" w:bidi="hi-IN"/>
        </w:rPr>
        <w:t>3</w:t>
      </w:r>
      <w:r w:rsidRPr="00F33A24">
        <w:rPr>
          <w:kern w:val="1"/>
          <w:szCs w:val="24"/>
          <w:lang w:eastAsia="zh-CN" w:bidi="hi-IN"/>
        </w:rPr>
        <w:t>, N</w:t>
      </w:r>
      <w:r w:rsidRPr="00F33A24">
        <w:rPr>
          <w:kern w:val="1"/>
          <w:position w:val="-8"/>
          <w:szCs w:val="24"/>
          <w:lang w:eastAsia="zh-CN" w:bidi="hi-IN"/>
        </w:rPr>
        <w:t>2</w:t>
      </w:r>
      <w:r w:rsidRPr="00F33A24">
        <w:rPr>
          <w:kern w:val="1"/>
          <w:szCs w:val="24"/>
          <w:lang w:eastAsia="zh-CN" w:bidi="hi-IN"/>
        </w:rPr>
        <w:t>, N</w:t>
      </w:r>
      <w:r w:rsidRPr="00F33A24">
        <w:rPr>
          <w:kern w:val="1"/>
          <w:position w:val="-8"/>
          <w:szCs w:val="24"/>
          <w:lang w:eastAsia="zh-CN" w:bidi="hi-IN"/>
        </w:rPr>
        <w:t>3</w:t>
      </w:r>
      <w:r w:rsidRPr="00F33A24">
        <w:rPr>
          <w:kern w:val="1"/>
          <w:szCs w:val="24"/>
          <w:lang w:eastAsia="zh-CN" w:bidi="hi-IN"/>
        </w:rPr>
        <w:t>, O</w:t>
      </w:r>
      <w:r w:rsidRPr="00F33A24">
        <w:rPr>
          <w:kern w:val="1"/>
          <w:position w:val="-8"/>
          <w:szCs w:val="24"/>
          <w:lang w:eastAsia="zh-CN" w:bidi="hi-IN"/>
        </w:rPr>
        <w:t>3</w:t>
      </w:r>
      <w:r w:rsidRPr="00F33A24">
        <w:rPr>
          <w:kern w:val="1"/>
          <w:szCs w:val="24"/>
          <w:lang w:eastAsia="zh-CN" w:bidi="hi-IN"/>
        </w:rPr>
        <w:t>, O</w:t>
      </w:r>
      <w:r w:rsidRPr="00F33A24">
        <w:rPr>
          <w:kern w:val="1"/>
          <w:position w:val="-8"/>
          <w:szCs w:val="24"/>
          <w:lang w:eastAsia="zh-CN" w:bidi="hi-IN"/>
        </w:rPr>
        <w:t xml:space="preserve">4 </w:t>
      </w:r>
      <w:r w:rsidRPr="00F33A24">
        <w:rPr>
          <w:kern w:val="1"/>
          <w:szCs w:val="24"/>
          <w:lang w:eastAsia="zh-CN" w:bidi="hi-IN"/>
        </w:rPr>
        <w:t xml:space="preserve">klasių </w:t>
      </w:r>
      <w:r w:rsidRPr="00F33A24">
        <w:rPr>
          <w:color w:val="000000"/>
          <w:kern w:val="1"/>
          <w:szCs w:val="24"/>
          <w:lang w:eastAsia="zh-CN" w:bidi="hi-IN"/>
        </w:rPr>
        <w:t>transporto priemonių</w:t>
      </w:r>
      <w:r w:rsidRPr="00F33A24">
        <w:rPr>
          <w:kern w:val="1"/>
          <w:szCs w:val="24"/>
          <w:lang w:eastAsia="zh-CN" w:bidi="hi-IN"/>
        </w:rPr>
        <w:t>, T</w:t>
      </w:r>
      <w:r w:rsidRPr="00F33A24">
        <w:rPr>
          <w:kern w:val="1"/>
          <w:position w:val="-8"/>
          <w:szCs w:val="24"/>
          <w:lang w:eastAsia="zh-CN" w:bidi="hi-IN"/>
        </w:rPr>
        <w:t>5</w:t>
      </w:r>
      <w:r w:rsidRPr="00F33A24">
        <w:rPr>
          <w:kern w:val="1"/>
          <w:szCs w:val="24"/>
          <w:lang w:eastAsia="zh-CN" w:bidi="hi-IN"/>
        </w:rPr>
        <w:t xml:space="preserve"> kategorijos ratinių traktorių, kurie dažniausiai naudojami viešuosiuose keliuose vežimams už atlygį ir kurių did</w:t>
      </w:r>
      <w:r w:rsidRPr="00F33A24">
        <w:rPr>
          <w:kern w:val="1"/>
          <w:szCs w:val="24"/>
          <w:lang w:eastAsia="zh-CN" w:bidi="hi-IN"/>
        </w:rPr>
        <w:t>žiausias projektinis greitis yra didesnis kaip 40 km/h, didelis ir (ar) pavojingas transporto priemonės trūkumas, susijęs su</w:t>
      </w:r>
      <w:r w:rsidRPr="00F33A24">
        <w:rPr>
          <w:color w:val="000000"/>
          <w:kern w:val="1"/>
          <w:szCs w:val="24"/>
          <w:lang w:eastAsia="zh-CN" w:bidi="hi-IN"/>
        </w:rPr>
        <w:t xml:space="preserve"> Lietuvos Respublikos susisiekimo ministerijos arba jos įgaliotos institucijos patvirtintais techniniais motorinių transporto priemo</w:t>
      </w:r>
      <w:r w:rsidRPr="00F33A24">
        <w:rPr>
          <w:color w:val="000000"/>
          <w:kern w:val="1"/>
          <w:szCs w:val="24"/>
          <w:lang w:eastAsia="zh-CN" w:bidi="hi-IN"/>
        </w:rPr>
        <w:t>nių ir jų priekabų reikalavimais</w:t>
      </w:r>
      <w:r w:rsidRPr="00F33A24">
        <w:rPr>
          <w:kern w:val="1"/>
          <w:szCs w:val="24"/>
          <w:lang w:eastAsia="zh-CN" w:bidi="hi-IN"/>
        </w:rPr>
        <w:t xml:space="preserve">. </w:t>
      </w:r>
    </w:p>
    <w:p w14:paraId="749A4D48"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25</w:t>
      </w:r>
      <w:r w:rsidRPr="00F33A24">
        <w:rPr>
          <w:kern w:val="1"/>
          <w:szCs w:val="24"/>
          <w:lang w:eastAsia="zh-CN" w:bidi="hi-IN"/>
        </w:rPr>
        <w:t xml:space="preserve">. Policijos pareigūnas sprendimą uždrausti toliau važiuoti transporto priemone įformina Tvarkos aprašo 6 priede </w:t>
      </w:r>
      <w:r w:rsidRPr="00F33A24">
        <w:rPr>
          <w:rFonts w:eastAsia="SimSun"/>
          <w:kern w:val="1"/>
          <w:szCs w:val="24"/>
          <w:lang w:eastAsia="zh-CN" w:bidi="hi-IN"/>
        </w:rPr>
        <w:t xml:space="preserve">nustatytos formos </w:t>
      </w:r>
      <w:r w:rsidRPr="00F33A24">
        <w:rPr>
          <w:kern w:val="1"/>
          <w:szCs w:val="24"/>
          <w:lang w:eastAsia="zh-CN" w:bidi="hi-IN"/>
        </w:rPr>
        <w:t>administraciniame sprendime. Administracinis sprendimas surašomas dviem egzempliori</w:t>
      </w:r>
      <w:r w:rsidRPr="00F33A24">
        <w:rPr>
          <w:kern w:val="1"/>
          <w:szCs w:val="24"/>
          <w:lang w:eastAsia="zh-CN" w:bidi="hi-IN"/>
        </w:rPr>
        <w:t>ais, vienas iš jų</w:t>
      </w:r>
      <w:r w:rsidRPr="00F33A24">
        <w:rPr>
          <w:rFonts w:eastAsia="SimSun"/>
          <w:kern w:val="1"/>
          <w:szCs w:val="24"/>
          <w:lang w:eastAsia="zh-CN" w:bidi="hi-IN"/>
        </w:rPr>
        <w:t xml:space="preserve"> įteikiamas transporto priemonės, kuria uždrausta toliau važiuoti, vairuotojui, kitas saugomas administracinio nusižengimo byloje ar kitoje medžiagoje.</w:t>
      </w:r>
    </w:p>
    <w:p w14:paraId="749A4D49"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rFonts w:eastAsia="SimSun"/>
          <w:kern w:val="1"/>
          <w:szCs w:val="24"/>
          <w:lang w:eastAsia="zh-CN" w:bidi="hi-IN"/>
        </w:rPr>
        <w:t>26</w:t>
      </w:r>
      <w:r w:rsidRPr="00F33A24">
        <w:rPr>
          <w:rFonts w:eastAsia="SimSun"/>
          <w:kern w:val="1"/>
          <w:szCs w:val="24"/>
          <w:lang w:eastAsia="zh-CN" w:bidi="hi-IN"/>
        </w:rPr>
        <w:t xml:space="preserve">. </w:t>
      </w:r>
      <w:r w:rsidRPr="00F33A24">
        <w:rPr>
          <w:color w:val="000000"/>
          <w:kern w:val="1"/>
          <w:szCs w:val="24"/>
          <w:lang w:eastAsia="zh-CN" w:bidi="hi-IN"/>
        </w:rPr>
        <w:t>Jei, vadovaujantis M</w:t>
      </w:r>
      <w:r w:rsidRPr="00F33A24">
        <w:rPr>
          <w:color w:val="000000"/>
          <w:kern w:val="1"/>
          <w:position w:val="-8"/>
          <w:szCs w:val="24"/>
          <w:lang w:eastAsia="zh-CN" w:bidi="hi-IN"/>
        </w:rPr>
        <w:t>2</w:t>
      </w:r>
      <w:r w:rsidRPr="00F33A24">
        <w:rPr>
          <w:color w:val="000000"/>
          <w:kern w:val="1"/>
          <w:szCs w:val="24"/>
          <w:lang w:eastAsia="zh-CN" w:bidi="hi-IN"/>
        </w:rPr>
        <w:t>, M</w:t>
      </w:r>
      <w:r w:rsidRPr="00F33A24">
        <w:rPr>
          <w:color w:val="000000"/>
          <w:kern w:val="1"/>
          <w:position w:val="-8"/>
          <w:szCs w:val="24"/>
          <w:lang w:eastAsia="zh-CN" w:bidi="hi-IN"/>
        </w:rPr>
        <w:t>3</w:t>
      </w:r>
      <w:r w:rsidRPr="00F33A24">
        <w:rPr>
          <w:color w:val="000000"/>
          <w:kern w:val="1"/>
          <w:szCs w:val="24"/>
          <w:lang w:eastAsia="zh-CN" w:bidi="hi-IN"/>
        </w:rPr>
        <w:t>, N</w:t>
      </w:r>
      <w:r w:rsidRPr="00F33A24">
        <w:rPr>
          <w:color w:val="000000"/>
          <w:kern w:val="1"/>
          <w:position w:val="-8"/>
          <w:szCs w:val="24"/>
          <w:lang w:eastAsia="zh-CN" w:bidi="hi-IN"/>
        </w:rPr>
        <w:t>2</w:t>
      </w:r>
      <w:r w:rsidRPr="00F33A24">
        <w:rPr>
          <w:color w:val="000000"/>
          <w:kern w:val="1"/>
          <w:szCs w:val="24"/>
          <w:lang w:eastAsia="zh-CN" w:bidi="hi-IN"/>
        </w:rPr>
        <w:t>, N</w:t>
      </w:r>
      <w:r w:rsidRPr="00F33A24">
        <w:rPr>
          <w:color w:val="000000"/>
          <w:kern w:val="1"/>
          <w:position w:val="-8"/>
          <w:szCs w:val="24"/>
          <w:lang w:eastAsia="zh-CN" w:bidi="hi-IN"/>
        </w:rPr>
        <w:t>3</w:t>
      </w:r>
      <w:r w:rsidRPr="00F33A24">
        <w:rPr>
          <w:color w:val="000000"/>
          <w:kern w:val="1"/>
          <w:szCs w:val="24"/>
          <w:lang w:eastAsia="zh-CN" w:bidi="hi-IN"/>
        </w:rPr>
        <w:t>, O</w:t>
      </w:r>
      <w:r w:rsidRPr="00F33A24">
        <w:rPr>
          <w:color w:val="000000"/>
          <w:kern w:val="1"/>
          <w:position w:val="-8"/>
          <w:szCs w:val="24"/>
          <w:lang w:eastAsia="zh-CN" w:bidi="hi-IN"/>
        </w:rPr>
        <w:t>3</w:t>
      </w:r>
      <w:r w:rsidRPr="00F33A24">
        <w:rPr>
          <w:color w:val="000000"/>
          <w:kern w:val="1"/>
          <w:szCs w:val="24"/>
          <w:lang w:eastAsia="zh-CN" w:bidi="hi-IN"/>
        </w:rPr>
        <w:t>, O</w:t>
      </w:r>
      <w:r w:rsidRPr="00F33A24">
        <w:rPr>
          <w:color w:val="000000"/>
          <w:kern w:val="1"/>
          <w:position w:val="-8"/>
          <w:szCs w:val="24"/>
          <w:lang w:eastAsia="zh-CN" w:bidi="hi-IN"/>
        </w:rPr>
        <w:t>4</w:t>
      </w:r>
      <w:r w:rsidRPr="00F33A24">
        <w:rPr>
          <w:color w:val="000000"/>
          <w:kern w:val="1"/>
          <w:szCs w:val="24"/>
          <w:lang w:eastAsia="zh-CN" w:bidi="hi-IN"/>
        </w:rPr>
        <w:t xml:space="preserve"> klasių kelių transporto priemonių ir T5 kategorijos ratinių traktorių techninių patikrinimų organizavimo Lietuvos Respublikos keliuose taisyklėmis, patvirtintomis Lietuvos Respublikos Vyriausybės 2005 m. balandžio 13 d. nutarimu Nr. 403 „Dėl M</w:t>
      </w:r>
      <w:r w:rsidRPr="00F33A24">
        <w:rPr>
          <w:color w:val="000000"/>
          <w:kern w:val="1"/>
          <w:position w:val="-8"/>
          <w:szCs w:val="24"/>
          <w:lang w:eastAsia="zh-CN" w:bidi="hi-IN"/>
        </w:rPr>
        <w:t>2</w:t>
      </w:r>
      <w:r w:rsidRPr="00F33A24">
        <w:rPr>
          <w:color w:val="000000"/>
          <w:kern w:val="1"/>
          <w:szCs w:val="24"/>
          <w:lang w:eastAsia="zh-CN" w:bidi="hi-IN"/>
        </w:rPr>
        <w:t>, M</w:t>
      </w:r>
      <w:r w:rsidRPr="00F33A24">
        <w:rPr>
          <w:color w:val="000000"/>
          <w:kern w:val="1"/>
          <w:position w:val="-8"/>
          <w:szCs w:val="24"/>
          <w:lang w:eastAsia="zh-CN" w:bidi="hi-IN"/>
        </w:rPr>
        <w:t>3</w:t>
      </w:r>
      <w:r w:rsidRPr="00F33A24">
        <w:rPr>
          <w:color w:val="000000"/>
          <w:kern w:val="1"/>
          <w:szCs w:val="24"/>
          <w:lang w:eastAsia="zh-CN" w:bidi="hi-IN"/>
        </w:rPr>
        <w:t>, N</w:t>
      </w:r>
      <w:r w:rsidRPr="00F33A24">
        <w:rPr>
          <w:color w:val="000000"/>
          <w:kern w:val="1"/>
          <w:position w:val="-8"/>
          <w:szCs w:val="24"/>
          <w:lang w:eastAsia="zh-CN" w:bidi="hi-IN"/>
        </w:rPr>
        <w:t>2</w:t>
      </w:r>
      <w:r w:rsidRPr="00F33A24">
        <w:rPr>
          <w:color w:val="000000"/>
          <w:kern w:val="1"/>
          <w:szCs w:val="24"/>
          <w:lang w:eastAsia="zh-CN" w:bidi="hi-IN"/>
        </w:rPr>
        <w:t>, N</w:t>
      </w:r>
      <w:r w:rsidRPr="00F33A24">
        <w:rPr>
          <w:color w:val="000000"/>
          <w:kern w:val="1"/>
          <w:position w:val="-8"/>
          <w:szCs w:val="24"/>
          <w:lang w:eastAsia="zh-CN" w:bidi="hi-IN"/>
        </w:rPr>
        <w:t>3</w:t>
      </w:r>
      <w:r w:rsidRPr="00F33A24">
        <w:rPr>
          <w:color w:val="000000"/>
          <w:kern w:val="1"/>
          <w:szCs w:val="24"/>
          <w:lang w:eastAsia="zh-CN" w:bidi="hi-IN"/>
        </w:rPr>
        <w:t>, O</w:t>
      </w:r>
      <w:r w:rsidRPr="00F33A24">
        <w:rPr>
          <w:color w:val="000000"/>
          <w:kern w:val="1"/>
          <w:position w:val="-8"/>
          <w:szCs w:val="24"/>
          <w:lang w:eastAsia="zh-CN" w:bidi="hi-IN"/>
        </w:rPr>
        <w:t>3</w:t>
      </w:r>
      <w:r w:rsidRPr="00F33A24">
        <w:rPr>
          <w:color w:val="000000"/>
          <w:kern w:val="1"/>
          <w:szCs w:val="24"/>
          <w:lang w:eastAsia="zh-CN" w:bidi="hi-IN"/>
        </w:rPr>
        <w:t>, O</w:t>
      </w:r>
      <w:r w:rsidRPr="00F33A24">
        <w:rPr>
          <w:color w:val="000000"/>
          <w:kern w:val="1"/>
          <w:position w:val="-8"/>
          <w:szCs w:val="24"/>
          <w:lang w:eastAsia="zh-CN" w:bidi="hi-IN"/>
        </w:rPr>
        <w:t xml:space="preserve">4 </w:t>
      </w:r>
      <w:r w:rsidRPr="00F33A24">
        <w:rPr>
          <w:color w:val="000000"/>
          <w:kern w:val="1"/>
          <w:szCs w:val="24"/>
          <w:lang w:eastAsia="zh-CN" w:bidi="hi-IN"/>
        </w:rPr>
        <w:t xml:space="preserve"> klasių kelių transporto priemonių ir T5 kategorijos ratinių traktorių techninių patikrinimų organizavimo Lietuvos Respublikos keliuose taisyklių patvirtinimo“, nustatomi Tvarkos aprašo 24.2 ir (ar) 24.5 papunkčiuose nurodyti trūkumai, policijos </w:t>
      </w:r>
      <w:r w:rsidRPr="00F33A24">
        <w:rPr>
          <w:color w:val="000000"/>
          <w:kern w:val="1"/>
          <w:szCs w:val="24"/>
          <w:lang w:eastAsia="zh-CN" w:bidi="hi-IN"/>
        </w:rPr>
        <w:t>pareigūnas Tvarkos aprašo 6 priede nustatytos formos administraciniame sprendime įrašo siuntimą vykti į techninės apžiūros įmonę atlikti išsamesnį patikrinimą, kuriame nustato terminą (jis negali būti ilgesnis kaip 7 darbo dienos), per kurį turi būti atlik</w:t>
      </w:r>
      <w:r w:rsidRPr="00F33A24">
        <w:rPr>
          <w:color w:val="000000"/>
          <w:kern w:val="1"/>
          <w:szCs w:val="24"/>
          <w:lang w:eastAsia="zh-CN" w:bidi="hi-IN"/>
        </w:rPr>
        <w:t>tas transporto priemonės išsamesnis patikrinimas, ir laikinai paima transporto priemonės registracijos dokumentus, kol bus pašalinami nustatyti trūkumai. Laikinai paėmus transporto priemonės registracijos dokumentus apie tai įrašoma Tvarkos aprašo 6 priede</w:t>
      </w:r>
      <w:r w:rsidRPr="00F33A24">
        <w:rPr>
          <w:color w:val="000000"/>
          <w:kern w:val="1"/>
          <w:szCs w:val="24"/>
          <w:lang w:eastAsia="zh-CN" w:bidi="hi-IN"/>
        </w:rPr>
        <w:t xml:space="preserve"> nustatytos formos administraciniame sprendime. Jei vairuotojas nepateikia transporto priemonės registracijos dokumentų, policijos pareigūnas tai pažymi sprendime.</w:t>
      </w:r>
    </w:p>
    <w:p w14:paraId="749A4D4A"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27</w:t>
      </w:r>
      <w:r w:rsidRPr="00F33A24">
        <w:rPr>
          <w:kern w:val="1"/>
          <w:szCs w:val="24"/>
          <w:lang w:eastAsia="zh-CN" w:bidi="hi-IN"/>
        </w:rPr>
        <w:t>. Policijos pareigūnas, priėmęs sprendimą uždrausti toliau važiuoti transporto priemon</w:t>
      </w:r>
      <w:r w:rsidRPr="00F33A24">
        <w:rPr>
          <w:kern w:val="1"/>
          <w:szCs w:val="24"/>
          <w:lang w:eastAsia="zh-CN" w:bidi="hi-IN"/>
        </w:rPr>
        <w:t xml:space="preserve">e, Tvarkos aprašo 6 priede </w:t>
      </w:r>
      <w:r w:rsidRPr="00F33A24">
        <w:rPr>
          <w:rFonts w:eastAsia="SimSun"/>
          <w:kern w:val="1"/>
          <w:szCs w:val="24"/>
          <w:lang w:eastAsia="zh-CN" w:bidi="hi-IN"/>
        </w:rPr>
        <w:t xml:space="preserve">nustatytos formos </w:t>
      </w:r>
      <w:r w:rsidRPr="00F33A24">
        <w:rPr>
          <w:kern w:val="1"/>
          <w:szCs w:val="24"/>
          <w:lang w:eastAsia="zh-CN" w:bidi="hi-IN"/>
        </w:rPr>
        <w:t xml:space="preserve">administraciniame sprendime </w:t>
      </w:r>
      <w:r w:rsidRPr="00F33A24">
        <w:rPr>
          <w:b/>
          <w:kern w:val="1"/>
          <w:szCs w:val="24"/>
          <w:lang w:eastAsia="zh-CN" w:bidi="hi-IN"/>
        </w:rPr>
        <w:t>leidžia, laikantis reikiamo atsargumo, nuvežti ar nutempti</w:t>
      </w:r>
      <w:r w:rsidRPr="00F33A24">
        <w:rPr>
          <w:kern w:val="1"/>
          <w:szCs w:val="24"/>
          <w:lang w:eastAsia="zh-CN" w:bidi="hi-IN"/>
        </w:rPr>
        <w:t xml:space="preserve"> transporto priemonę iki transporto priemonių stovėjimo aikštelės ar vietos, kurioje leidžiama transporto priemonėms stovėti,</w:t>
      </w:r>
      <w:r w:rsidRPr="00F33A24">
        <w:rPr>
          <w:kern w:val="1"/>
          <w:szCs w:val="24"/>
          <w:lang w:eastAsia="zh-CN" w:bidi="hi-IN"/>
        </w:rPr>
        <w:t xml:space="preserve"> arba remonto vietos ir nurodo artimiausią transporto priemonių stovėjimo aikštelę ar vietą, kurioje leidžiama transporto priemonėms stovėti, arba remonto vietą.</w:t>
      </w:r>
    </w:p>
    <w:p w14:paraId="749A4D4B"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 xml:space="preserve">Kai </w:t>
      </w:r>
      <w:r w:rsidRPr="00F33A24">
        <w:rPr>
          <w:color w:val="000000"/>
          <w:kern w:val="1"/>
          <w:szCs w:val="24"/>
          <w:lang w:eastAsia="zh-CN" w:bidi="hi-IN"/>
        </w:rPr>
        <w:t>nustatomi Tvarkos aprašo 24.2 ir (ar) 24.5 papunkčiuose nurodyti trūkumai, policijos parei</w:t>
      </w:r>
      <w:r w:rsidRPr="00F33A24">
        <w:rPr>
          <w:color w:val="000000"/>
          <w:kern w:val="1"/>
          <w:szCs w:val="24"/>
          <w:lang w:eastAsia="zh-CN" w:bidi="hi-IN"/>
        </w:rPr>
        <w:t>gūnas gali leisti transporto priemonei nuvykti iki vienos iš artimiausių remonto vietų, kurioje galima pašalinti nustatytus trūkumus, jeigu pavojingi trūkumai gali būti ištaisyti taip, kad būtų galima nuvažiuoti iki šios remonto vietos nesukeliant tiesiogi</w:t>
      </w:r>
      <w:r w:rsidRPr="00F33A24">
        <w:rPr>
          <w:color w:val="000000"/>
          <w:kern w:val="1"/>
          <w:szCs w:val="24"/>
          <w:lang w:eastAsia="zh-CN" w:bidi="hi-IN"/>
        </w:rPr>
        <w:t>nio pavojaus toje transporto priemonėje esančių asmenų ar kitų eismo dalyvių saugumui. Šiuo atveju, l</w:t>
      </w:r>
      <w:r w:rsidRPr="00F33A24">
        <w:rPr>
          <w:color w:val="000000"/>
          <w:kern w:val="1"/>
          <w:szCs w:val="24"/>
          <w:lang w:eastAsia="lt-LT" w:bidi="hi-IN"/>
        </w:rPr>
        <w:t xml:space="preserve">aikantis reikiamo atsargumo, privaloma transporto priemonę palydėti iki artimiausios transporto priemonių stovėjimo aikštelės ar vietos, kurioje leidžiama </w:t>
      </w:r>
      <w:r w:rsidRPr="00F33A24">
        <w:rPr>
          <w:color w:val="000000"/>
          <w:kern w:val="1"/>
          <w:szCs w:val="24"/>
          <w:lang w:eastAsia="lt-LT" w:bidi="hi-IN"/>
        </w:rPr>
        <w:t>transporto priemonėms stovėti, arba remonto vietos.</w:t>
      </w:r>
    </w:p>
    <w:p w14:paraId="749A4D4C"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color w:val="000000"/>
          <w:kern w:val="1"/>
          <w:szCs w:val="24"/>
          <w:lang w:eastAsia="lt-LT" w:bidi="hi-IN"/>
        </w:rPr>
        <w:t>28</w:t>
      </w:r>
      <w:r w:rsidRPr="00F33A24">
        <w:rPr>
          <w:color w:val="000000"/>
          <w:kern w:val="1"/>
          <w:szCs w:val="24"/>
          <w:lang w:eastAsia="lt-LT" w:bidi="hi-IN"/>
        </w:rPr>
        <w:t xml:space="preserve">. </w:t>
      </w:r>
      <w:r w:rsidRPr="00F33A24">
        <w:rPr>
          <w:kern w:val="1"/>
          <w:szCs w:val="24"/>
          <w:lang w:eastAsia="zh-CN" w:bidi="hi-IN"/>
        </w:rPr>
        <w:t xml:space="preserve">Transporto priemonės, kuriai, </w:t>
      </w:r>
      <w:r w:rsidRPr="00F33A24">
        <w:rPr>
          <w:color w:val="000000"/>
          <w:kern w:val="1"/>
          <w:szCs w:val="24"/>
          <w:lang w:eastAsia="zh-CN" w:bidi="hi-IN"/>
        </w:rPr>
        <w:t>nustačius Tvarkos aprašo 24.2 ir (ar) 24.5 papunkčiuose nurodytus trūkumus,</w:t>
      </w:r>
      <w:r w:rsidRPr="00F33A24">
        <w:rPr>
          <w:kern w:val="1"/>
          <w:szCs w:val="24"/>
          <w:lang w:eastAsia="zh-CN" w:bidi="hi-IN"/>
        </w:rPr>
        <w:t xml:space="preserve"> uždraudžiama toliau važiuoti, vairuotojui paaiškinama, kad pašalinęs nustatytus trūkumus t</w:t>
      </w:r>
      <w:r w:rsidRPr="00F33A24">
        <w:rPr>
          <w:kern w:val="1"/>
          <w:szCs w:val="24"/>
          <w:lang w:eastAsia="zh-CN" w:bidi="hi-IN"/>
        </w:rPr>
        <w:t>uri apie tai informuoti policijos įstaigą Tvarkos aprašo 6 priede nustatytos formos administraciniame sprendime nurodytu telefonu.</w:t>
      </w:r>
    </w:p>
    <w:p w14:paraId="749A4D4D"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 xml:space="preserve">Policijos įstaigos, kuriai telefonu pranešama apie pašalintus nustatytus trūkumus, pareigūnas informuoja vairuotoją apie </w:t>
      </w:r>
      <w:r w:rsidRPr="00F33A24">
        <w:rPr>
          <w:color w:val="000000"/>
          <w:kern w:val="1"/>
          <w:szCs w:val="24"/>
          <w:lang w:eastAsia="zh-CN" w:bidi="hi-IN"/>
        </w:rPr>
        <w:t>tran</w:t>
      </w:r>
      <w:r w:rsidRPr="00F33A24">
        <w:rPr>
          <w:color w:val="000000"/>
          <w:kern w:val="1"/>
          <w:szCs w:val="24"/>
          <w:lang w:eastAsia="zh-CN" w:bidi="hi-IN"/>
        </w:rPr>
        <w:t>sporto priemonės registracijos dokumentų grąžinimo vietą ir laiką.</w:t>
      </w:r>
    </w:p>
    <w:p w14:paraId="749A4D4E"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29</w:t>
      </w:r>
      <w:r w:rsidRPr="00F33A24">
        <w:rPr>
          <w:kern w:val="1"/>
          <w:szCs w:val="24"/>
          <w:lang w:eastAsia="zh-CN" w:bidi="hi-IN"/>
        </w:rPr>
        <w:t xml:space="preserve">. </w:t>
      </w:r>
      <w:r w:rsidRPr="00F33A24">
        <w:rPr>
          <w:color w:val="000000"/>
          <w:kern w:val="1"/>
          <w:szCs w:val="24"/>
          <w:lang w:eastAsia="zh-CN" w:bidi="hi-IN"/>
        </w:rPr>
        <w:t xml:space="preserve">Kai uždraudžiama toliau važiuoti nustačius Tvarkos aprašo 24.2 papunktyje nustatytus </w:t>
      </w:r>
      <w:r w:rsidRPr="00F33A24">
        <w:rPr>
          <w:color w:val="000000"/>
          <w:kern w:val="1"/>
          <w:szCs w:val="24"/>
          <w:lang w:eastAsia="zh-CN" w:bidi="hi-IN"/>
        </w:rPr>
        <w:lastRenderedPageBreak/>
        <w:t xml:space="preserve">trūkumus, </w:t>
      </w:r>
      <w:r w:rsidRPr="00F33A24">
        <w:rPr>
          <w:kern w:val="1"/>
          <w:szCs w:val="24"/>
          <w:lang w:eastAsia="zh-CN" w:bidi="hi-IN"/>
        </w:rPr>
        <w:t>paimti transporto priemonės registracijos dokumentai grąžinami, jeigu transporto priem</w:t>
      </w:r>
      <w:r w:rsidRPr="00F33A24">
        <w:rPr>
          <w:kern w:val="1"/>
          <w:szCs w:val="24"/>
          <w:lang w:eastAsia="zh-CN" w:bidi="hi-IN"/>
        </w:rPr>
        <w:t>onės vairuotojas pateikia įrodymus, kad nustatyti trūkumai pašalinti.</w:t>
      </w:r>
    </w:p>
    <w:p w14:paraId="749A4D4F"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color w:val="000000"/>
          <w:kern w:val="1"/>
          <w:szCs w:val="24"/>
          <w:lang w:eastAsia="zh-CN" w:bidi="hi-IN"/>
        </w:rPr>
        <w:t xml:space="preserve">Kai uždraudžiama toliau važiuoti nustačius Tvarkos aprašo 24.5 papunktyje nustatytus trūkumus, </w:t>
      </w:r>
      <w:r w:rsidRPr="00F33A24">
        <w:rPr>
          <w:kern w:val="1"/>
          <w:szCs w:val="24"/>
          <w:lang w:eastAsia="zh-CN" w:bidi="hi-IN"/>
        </w:rPr>
        <w:t xml:space="preserve">paimti transporto priemonės registracijos dokumentai grąžinami, jeigu transporto priemonės </w:t>
      </w:r>
      <w:r w:rsidRPr="00F33A24">
        <w:rPr>
          <w:kern w:val="1"/>
          <w:szCs w:val="24"/>
          <w:lang w:eastAsia="zh-CN" w:bidi="hi-IN"/>
        </w:rPr>
        <w:t xml:space="preserve">vairuotojas pateikia techninės apžiūros įmonės išduotą transporto priemonės privalomosios techninės apžiūros rezultatų kortelę (ataskaitą) su teigiama išvada arba transporto priemonės privalomosios techninės apžiūros rezultatų kortelę (ataskaitą), kurioje </w:t>
      </w:r>
      <w:r w:rsidRPr="00F33A24">
        <w:rPr>
          <w:kern w:val="1"/>
          <w:szCs w:val="24"/>
          <w:lang w:eastAsia="zh-CN" w:bidi="hi-IN"/>
        </w:rPr>
        <w:t xml:space="preserve">gali būti nurodytas vienintelis trūkumas, kad nėra pateikti transporto priemonės registracijos dokumentai. </w:t>
      </w:r>
    </w:p>
    <w:p w14:paraId="749A4D50"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30</w:t>
      </w:r>
      <w:r w:rsidRPr="00F33A24">
        <w:rPr>
          <w:kern w:val="1"/>
          <w:szCs w:val="24"/>
          <w:lang w:eastAsia="zh-CN" w:bidi="hi-IN"/>
        </w:rPr>
        <w:t xml:space="preserve">. Jeigu per siuntime </w:t>
      </w:r>
      <w:r w:rsidRPr="00F33A24">
        <w:rPr>
          <w:color w:val="000000"/>
          <w:kern w:val="1"/>
          <w:szCs w:val="24"/>
          <w:lang w:eastAsia="zh-CN" w:bidi="hi-IN"/>
        </w:rPr>
        <w:t xml:space="preserve">vykti į techninės apžiūros įmonę </w:t>
      </w:r>
      <w:r w:rsidRPr="00F33A24">
        <w:rPr>
          <w:kern w:val="1"/>
          <w:szCs w:val="24"/>
          <w:lang w:eastAsia="zh-CN" w:bidi="hi-IN"/>
        </w:rPr>
        <w:t xml:space="preserve">atlikti transporto priemonės išsamesnį patikrinimą nustatytą terminą transporto </w:t>
      </w:r>
      <w:r w:rsidRPr="00F33A24">
        <w:rPr>
          <w:kern w:val="1"/>
          <w:szCs w:val="24"/>
          <w:lang w:eastAsia="zh-CN" w:bidi="hi-IN"/>
        </w:rPr>
        <w:t>priemonės vairuotojas nepateikia transporto priemonės techninės apžiūros rezultatų kortelės (ataskaitos), policijos įstaiga, kurios pareigūnas atliko transporto priemonės pradinį techninį patikrinimą kelyje, ne vėliau kaip per 1 darbo dieną nuo siuntime at</w:t>
      </w:r>
      <w:r w:rsidRPr="00F33A24">
        <w:rPr>
          <w:kern w:val="1"/>
          <w:szCs w:val="24"/>
          <w:lang w:eastAsia="zh-CN" w:bidi="hi-IN"/>
        </w:rPr>
        <w:t>likti transporto priemonės išsamesnį patikrinimą techninės apžiūros įmonėje nustatyto termino pabaigos informuoja elektroninio ryšio priemonėmis valstybės įmonę „</w:t>
      </w:r>
      <w:proofErr w:type="spellStart"/>
      <w:r w:rsidRPr="00F33A24">
        <w:rPr>
          <w:kern w:val="1"/>
          <w:szCs w:val="24"/>
          <w:lang w:eastAsia="zh-CN" w:bidi="hi-IN"/>
        </w:rPr>
        <w:t>Regitra</w:t>
      </w:r>
      <w:proofErr w:type="spellEnd"/>
      <w:r w:rsidRPr="00F33A24">
        <w:rPr>
          <w:kern w:val="1"/>
          <w:szCs w:val="24"/>
          <w:lang w:eastAsia="zh-CN" w:bidi="hi-IN"/>
        </w:rPr>
        <w:t>“ apie leidimo tokiai transporto priemonei dalyvauti viešajame eisme sustabdymą.</w:t>
      </w:r>
    </w:p>
    <w:p w14:paraId="749A4D51"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31</w:t>
      </w:r>
      <w:r w:rsidRPr="00F33A24">
        <w:rPr>
          <w:kern w:val="1"/>
          <w:szCs w:val="24"/>
          <w:lang w:eastAsia="zh-CN" w:bidi="hi-IN"/>
        </w:rPr>
        <w:t xml:space="preserve">. Policijos įstaiga, kurios pareigūnas atliko transporto priemonės pradinį techninį patikrinimą kelyje, </w:t>
      </w:r>
      <w:r w:rsidRPr="00F33A24">
        <w:rPr>
          <w:szCs w:val="24"/>
          <w:lang w:eastAsia="zh-CN"/>
        </w:rPr>
        <w:t>ne vėliau kaip kitą darbo dieną po šio patikrinimo dienos pateikia elektroninio ryšio priemonėmis Lietuvos transporto saugos administracijai informaciją</w:t>
      </w:r>
      <w:r w:rsidRPr="00F33A24">
        <w:rPr>
          <w:szCs w:val="24"/>
          <w:lang w:eastAsia="zh-CN"/>
        </w:rPr>
        <w:t xml:space="preserve"> apie patikrintos transporto priemonės registracijos valstybę, klasę ir pradinio patikrinimo kelyje rezultatus.“ </w:t>
      </w:r>
    </w:p>
    <w:p w14:paraId="749A4D52" w14:textId="77777777" w:rsidR="008F4D0D" w:rsidRPr="00F33A24" w:rsidRDefault="00F33A24">
      <w:pPr>
        <w:widowControl w:val="0"/>
        <w:tabs>
          <w:tab w:val="left" w:pos="850"/>
        </w:tabs>
        <w:suppressAutoHyphens/>
        <w:spacing w:line="252" w:lineRule="auto"/>
        <w:ind w:firstLine="850"/>
        <w:jc w:val="both"/>
        <w:rPr>
          <w:sz w:val="20"/>
          <w:szCs w:val="24"/>
          <w:lang w:eastAsia="zh-CN"/>
        </w:rPr>
      </w:pPr>
      <w:r w:rsidRPr="00F33A24">
        <w:rPr>
          <w:kern w:val="1"/>
          <w:szCs w:val="24"/>
          <w:lang w:eastAsia="zh-CN" w:bidi="hi-IN"/>
        </w:rPr>
        <w:t>3</w:t>
      </w:r>
      <w:r w:rsidRPr="00F33A24">
        <w:rPr>
          <w:kern w:val="1"/>
          <w:szCs w:val="24"/>
          <w:lang w:eastAsia="zh-CN" w:bidi="hi-IN"/>
        </w:rPr>
        <w:t>. B</w:t>
      </w:r>
      <w:r w:rsidRPr="00F33A24">
        <w:rPr>
          <w:color w:val="00000A"/>
          <w:kern w:val="1"/>
          <w:szCs w:val="24"/>
          <w:highlight w:val="white"/>
        </w:rPr>
        <w:t xml:space="preserve">uvusius 27 ir 28 punktus laikyti atitinkamai 32 ir 33 punktais. </w:t>
      </w:r>
    </w:p>
    <w:p w14:paraId="749A4D57" w14:textId="194F7C52" w:rsidR="008F4D0D" w:rsidRPr="00F33A24" w:rsidRDefault="00F33A24" w:rsidP="00F33A24">
      <w:pPr>
        <w:widowControl w:val="0"/>
        <w:tabs>
          <w:tab w:val="left" w:pos="850"/>
        </w:tabs>
        <w:suppressAutoHyphens/>
        <w:spacing w:line="252" w:lineRule="auto"/>
        <w:ind w:firstLine="850"/>
        <w:jc w:val="both"/>
        <w:rPr>
          <w:szCs w:val="24"/>
          <w:lang w:eastAsia="zh-CN"/>
        </w:rPr>
      </w:pPr>
      <w:r w:rsidRPr="00F33A24">
        <w:rPr>
          <w:color w:val="00000A"/>
          <w:kern w:val="1"/>
          <w:szCs w:val="24"/>
          <w:highlight w:val="white"/>
        </w:rPr>
        <w:t>4</w:t>
      </w:r>
      <w:r w:rsidRPr="00F33A24">
        <w:rPr>
          <w:color w:val="00000A"/>
          <w:kern w:val="1"/>
          <w:szCs w:val="24"/>
          <w:highlight w:val="white"/>
        </w:rPr>
        <w:t xml:space="preserve">. Pakeičiu 6 priedą ir jį išdėstau nauja redakcija </w:t>
      </w:r>
      <w:r w:rsidRPr="00F33A24">
        <w:rPr>
          <w:color w:val="00000A"/>
          <w:kern w:val="1"/>
          <w:szCs w:val="24"/>
          <w:highlight w:val="white"/>
        </w:rPr>
        <w:t>(pridedama).</w:t>
      </w:r>
    </w:p>
    <w:p w14:paraId="75DABF1E" w14:textId="77777777" w:rsidR="00F33A24" w:rsidRDefault="00F33A24">
      <w:pPr>
        <w:suppressAutoHyphens/>
        <w:spacing w:line="252" w:lineRule="auto"/>
        <w:jc w:val="both"/>
      </w:pPr>
    </w:p>
    <w:p w14:paraId="11849725" w14:textId="77777777" w:rsidR="00F33A24" w:rsidRDefault="00F33A24">
      <w:pPr>
        <w:suppressAutoHyphens/>
        <w:spacing w:line="252" w:lineRule="auto"/>
        <w:jc w:val="both"/>
      </w:pPr>
    </w:p>
    <w:p w14:paraId="26A71E31" w14:textId="77777777" w:rsidR="00F33A24" w:rsidRDefault="00F33A24">
      <w:pPr>
        <w:suppressAutoHyphens/>
        <w:spacing w:line="252" w:lineRule="auto"/>
        <w:jc w:val="both"/>
      </w:pPr>
    </w:p>
    <w:p w14:paraId="749A4D58" w14:textId="743DF6AB" w:rsidR="008F4D0D" w:rsidRPr="00F33A24" w:rsidRDefault="00F33A24">
      <w:pPr>
        <w:suppressAutoHyphens/>
        <w:spacing w:line="252" w:lineRule="auto"/>
        <w:jc w:val="both"/>
        <w:rPr>
          <w:sz w:val="20"/>
          <w:szCs w:val="24"/>
          <w:lang w:eastAsia="zh-CN"/>
        </w:rPr>
      </w:pPr>
      <w:r w:rsidRPr="00F33A24">
        <w:rPr>
          <w:szCs w:val="24"/>
          <w:lang w:eastAsia="zh-CN"/>
        </w:rPr>
        <w:t>Policijos generalinio komisaro pavaduotojas,</w:t>
      </w:r>
    </w:p>
    <w:p w14:paraId="749A4D59" w14:textId="77777777" w:rsidR="008F4D0D" w:rsidRPr="00F33A24" w:rsidRDefault="00F33A24">
      <w:pPr>
        <w:keepLines/>
        <w:tabs>
          <w:tab w:val="left" w:pos="5580"/>
          <w:tab w:val="right" w:pos="9808"/>
        </w:tabs>
        <w:suppressAutoHyphens/>
        <w:spacing w:line="252" w:lineRule="auto"/>
        <w:jc w:val="both"/>
        <w:textAlignment w:val="center"/>
        <w:rPr>
          <w:color w:val="000000"/>
          <w:sz w:val="20"/>
          <w:szCs w:val="24"/>
          <w:lang w:eastAsia="lt-LT"/>
        </w:rPr>
      </w:pPr>
      <w:r w:rsidRPr="00F33A24">
        <w:rPr>
          <w:color w:val="000000"/>
          <w:szCs w:val="24"/>
          <w:lang w:eastAsia="lt-LT"/>
        </w:rPr>
        <w:t>atliekantis policijos generalinio komisaro funkcijas</w:t>
      </w:r>
      <w:r w:rsidRPr="00F33A24">
        <w:rPr>
          <w:color w:val="000000"/>
          <w:szCs w:val="24"/>
          <w:lang w:eastAsia="lt-LT"/>
        </w:rPr>
        <w:tab/>
      </w:r>
      <w:r w:rsidRPr="00F33A24">
        <w:rPr>
          <w:color w:val="000000"/>
          <w:szCs w:val="24"/>
          <w:lang w:eastAsia="lt-LT"/>
        </w:rPr>
        <w:tab/>
        <w:t xml:space="preserve">                  Rimantas </w:t>
      </w:r>
      <w:proofErr w:type="spellStart"/>
      <w:r w:rsidRPr="00F33A24">
        <w:rPr>
          <w:color w:val="000000"/>
          <w:szCs w:val="24"/>
          <w:lang w:eastAsia="lt-LT"/>
        </w:rPr>
        <w:t>Bobinas</w:t>
      </w:r>
      <w:proofErr w:type="spellEnd"/>
    </w:p>
    <w:p w14:paraId="749A4D5A" w14:textId="77777777" w:rsidR="008F4D0D" w:rsidRDefault="00F33A24">
      <w:pPr>
        <w:suppressAutoHyphens/>
        <w:spacing w:line="252" w:lineRule="auto"/>
        <w:jc w:val="both"/>
        <w:rPr>
          <w:rFonts w:hAnsi="Liberation Serif"/>
          <w:sz w:val="20"/>
          <w:szCs w:val="24"/>
          <w:lang w:eastAsia="zh-CN"/>
        </w:rPr>
      </w:pPr>
    </w:p>
    <w:sectPr w:rsidR="008F4D0D" w:rsidSect="00F33A24">
      <w:headerReference w:type="default" r:id="rId9"/>
      <w:type w:val="continuous"/>
      <w:pgSz w:w="12240" w:h="15840"/>
      <w:pgMar w:top="1701" w:right="567" w:bottom="1134" w:left="1701" w:header="426" w:footer="567" w:gutter="0"/>
      <w:cols w:space="1296"/>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4D5F" w14:textId="77777777" w:rsidR="008F4D0D" w:rsidRDefault="00F33A24">
      <w:pPr>
        <w:suppressAutoHyphens/>
        <w:rPr>
          <w:rFonts w:hAnsi="Liberation Serif"/>
          <w:sz w:val="20"/>
          <w:lang w:eastAsia="zh-CN"/>
        </w:rPr>
      </w:pPr>
      <w:r>
        <w:rPr>
          <w:rFonts w:hAnsi="Liberation Serif"/>
          <w:sz w:val="20"/>
          <w:lang w:eastAsia="zh-CN"/>
        </w:rPr>
        <w:separator/>
      </w:r>
    </w:p>
  </w:endnote>
  <w:endnote w:type="continuationSeparator" w:id="0">
    <w:p w14:paraId="749A4D60" w14:textId="77777777" w:rsidR="008F4D0D" w:rsidRDefault="00F33A24">
      <w:pPr>
        <w:suppressAutoHyphens/>
        <w:rPr>
          <w:rFonts w:hAnsi="Liberation Serif"/>
          <w:sz w:val="20"/>
          <w:lang w:eastAsia="zh-CN"/>
        </w:rPr>
      </w:pPr>
      <w:r>
        <w:rPr>
          <w:rFonts w:hAnsi="Liberation Serif"/>
          <w:sz w:val="20"/>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A4D5D" w14:textId="77777777" w:rsidR="008F4D0D" w:rsidRDefault="00F33A24">
      <w:pPr>
        <w:suppressAutoHyphens/>
        <w:rPr>
          <w:rFonts w:hAnsi="Liberation Serif"/>
          <w:sz w:val="20"/>
          <w:lang w:eastAsia="zh-CN"/>
        </w:rPr>
      </w:pPr>
      <w:r>
        <w:rPr>
          <w:rFonts w:ascii="Liberation Serif" w:hAnsi="Liberation Serif"/>
          <w:szCs w:val="24"/>
          <w:lang w:eastAsia="lt-LT"/>
        </w:rPr>
        <w:separator/>
      </w:r>
    </w:p>
  </w:footnote>
  <w:footnote w:type="continuationSeparator" w:id="0">
    <w:p w14:paraId="749A4D5E" w14:textId="77777777" w:rsidR="008F4D0D" w:rsidRDefault="00F33A24">
      <w:pPr>
        <w:suppressAutoHyphens/>
        <w:rPr>
          <w:rFonts w:hAnsi="Liberation Serif"/>
          <w:sz w:val="20"/>
          <w:lang w:eastAsia="zh-CN"/>
        </w:rPr>
      </w:pPr>
      <w:r>
        <w:rPr>
          <w:rFonts w:hAnsi="Liberation Serif"/>
          <w:sz w:val="20"/>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4D61" w14:textId="77777777" w:rsidR="008F4D0D" w:rsidRDefault="00F33A24">
    <w:pPr>
      <w:tabs>
        <w:tab w:val="center" w:pos="4819"/>
        <w:tab w:val="right" w:pos="9638"/>
      </w:tabs>
      <w:jc w:val="center"/>
      <w:rPr>
        <w:rFonts w:hAnsi="Liberation Serif"/>
        <w:sz w:val="20"/>
        <w:lang w:eastAsia="lt-LT"/>
      </w:rPr>
    </w:pPr>
    <w:r>
      <w:rPr>
        <w:rFonts w:hAnsi="Liberation Serif"/>
        <w:szCs w:val="24"/>
        <w:lang w:eastAsia="lt-LT"/>
      </w:rPr>
      <w:fldChar w:fldCharType="begin"/>
    </w:r>
    <w:r>
      <w:rPr>
        <w:rFonts w:hAnsi="Liberation Serif"/>
        <w:szCs w:val="24"/>
        <w:lang w:eastAsia="lt-LT"/>
      </w:rPr>
      <w:instrText xml:space="preserve"> PAGE </w:instrText>
    </w:r>
    <w:r>
      <w:rPr>
        <w:rFonts w:hAnsi="Liberation Serif"/>
        <w:szCs w:val="24"/>
        <w:lang w:eastAsia="lt-LT"/>
      </w:rPr>
      <w:fldChar w:fldCharType="separate"/>
    </w:r>
    <w:r>
      <w:rPr>
        <w:rFonts w:hAnsi="Liberation Serif"/>
        <w:noProof/>
        <w:szCs w:val="24"/>
        <w:lang w:eastAsia="lt-LT"/>
      </w:rPr>
      <w:t>2</w:t>
    </w:r>
    <w:r>
      <w:rPr>
        <w:rFonts w:hAnsi="Liberation Serif"/>
        <w:szCs w:val="24"/>
        <w:lang w:eastAsia="lt-LT"/>
      </w:rPr>
      <w:fldChar w:fldCharType="end"/>
    </w:r>
  </w:p>
  <w:p w14:paraId="749A4D62" w14:textId="77777777" w:rsidR="008F4D0D" w:rsidRDefault="008F4D0D">
    <w:pPr>
      <w:tabs>
        <w:tab w:val="center" w:pos="4819"/>
        <w:tab w:val="right" w:pos="9638"/>
      </w:tabs>
      <w:rPr>
        <w:rFonts w:hAnsi="Liberation Serif"/>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92"/>
  <w:hyphenationZone w:val="39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65"/>
    <w:rsid w:val="006C0A65"/>
    <w:rsid w:val="008F4D0D"/>
    <w:rsid w:val="00F33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A4D2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F33A24"/>
    <w:pPr>
      <w:tabs>
        <w:tab w:val="center" w:pos="4819"/>
        <w:tab w:val="right" w:pos="9638"/>
      </w:tabs>
    </w:pPr>
  </w:style>
  <w:style w:type="character" w:customStyle="1" w:styleId="AntratsDiagrama">
    <w:name w:val="Antraštės Diagrama"/>
    <w:basedOn w:val="Numatytasispastraiposriftas"/>
    <w:link w:val="Antrats"/>
    <w:rsid w:val="00F33A24"/>
  </w:style>
  <w:style w:type="paragraph" w:styleId="Porat">
    <w:name w:val="footer"/>
    <w:basedOn w:val="prastasis"/>
    <w:link w:val="PoratDiagrama"/>
    <w:rsid w:val="00F33A24"/>
    <w:pPr>
      <w:tabs>
        <w:tab w:val="center" w:pos="4819"/>
        <w:tab w:val="right" w:pos="9638"/>
      </w:tabs>
    </w:pPr>
  </w:style>
  <w:style w:type="character" w:customStyle="1" w:styleId="PoratDiagrama">
    <w:name w:val="Poraštė Diagrama"/>
    <w:basedOn w:val="Numatytasispastraiposriftas"/>
    <w:link w:val="Porat"/>
    <w:rsid w:val="00F33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rsid w:val="00F33A24"/>
    <w:pPr>
      <w:tabs>
        <w:tab w:val="center" w:pos="4819"/>
        <w:tab w:val="right" w:pos="9638"/>
      </w:tabs>
    </w:pPr>
  </w:style>
  <w:style w:type="character" w:customStyle="1" w:styleId="AntratsDiagrama">
    <w:name w:val="Antraštės Diagrama"/>
    <w:basedOn w:val="Numatytasispastraiposriftas"/>
    <w:link w:val="Antrats"/>
    <w:rsid w:val="00F33A24"/>
  </w:style>
  <w:style w:type="paragraph" w:styleId="Porat">
    <w:name w:val="footer"/>
    <w:basedOn w:val="prastasis"/>
    <w:link w:val="PoratDiagrama"/>
    <w:rsid w:val="00F33A24"/>
    <w:pPr>
      <w:tabs>
        <w:tab w:val="center" w:pos="4819"/>
        <w:tab w:val="right" w:pos="9638"/>
      </w:tabs>
    </w:pPr>
  </w:style>
  <w:style w:type="character" w:customStyle="1" w:styleId="PoratDiagrama">
    <w:name w:val="Poraštė Diagrama"/>
    <w:basedOn w:val="Numatytasispastraiposriftas"/>
    <w:link w:val="Porat"/>
    <w:rsid w:val="00F3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7398</Characters>
  <Application>Microsoft Office Word</Application>
  <DocSecurity>0</DocSecurity>
  <Lines>61</Lines>
  <Paragraphs>16</Paragraphs>
  <ScaleCrop>false</ScaleCrop>
  <HeadingPairs>
    <vt:vector size="2" baseType="variant">
      <vt:variant>
        <vt:lpstr>Pavadinimas</vt:lpstr>
      </vt:variant>
      <vt:variant>
        <vt:i4>1</vt:i4>
      </vt:variant>
    </vt:vector>
  </HeadingPairs>
  <TitlesOfParts>
    <vt:vector size="1" baseType="lpstr">
      <vt:lpstr>Transporto priemonių priverstinio        nuvežimo tvarkos aprašo</vt:lpstr>
    </vt:vector>
  </TitlesOfParts>
  <Company/>
  <LinksUpToDate>false</LinksUpToDate>
  <CharactersWithSpaces>8385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2018-06-18T13:21:00Z</dcterms:created>
  <dc:creator>Rytis Vosylius</dc:creator>
  <lastModifiedBy>KUČIAUSKIENĖ Simona</lastModifiedBy>
  <dcterms:modified xsi:type="dcterms:W3CDTF">2018-06-18T13:27:00Z</dcterms:modified>
  <revision>3</revision>
  <dc:title>Transporto priemonių priverstinio nuvežimo tvarkos aprašo</dc:title>
</coreProperties>
</file>