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0F3B" w14:textId="79FAEF97" w:rsidR="003944CE" w:rsidRDefault="00AB2E62" w:rsidP="00AB2E62">
      <w:pPr>
        <w:tabs>
          <w:tab w:val="center" w:pos="4153"/>
          <w:tab w:val="right" w:pos="8306"/>
        </w:tabs>
        <w:jc w:val="center"/>
        <w:rPr>
          <w:b/>
          <w:caps/>
          <w:szCs w:val="24"/>
          <w:lang w:eastAsia="lt-LT"/>
        </w:rPr>
      </w:pPr>
      <w:r>
        <w:rPr>
          <w:b/>
          <w:caps/>
          <w:noProof/>
          <w:szCs w:val="24"/>
          <w:lang w:eastAsia="lt-LT"/>
        </w:rPr>
        <w:drawing>
          <wp:inline distT="0" distB="0" distL="0" distR="0" wp14:anchorId="7D010F50" wp14:editId="7D010F51">
            <wp:extent cx="581025" cy="704850"/>
            <wp:effectExtent l="0" t="0" r="0" b="0"/>
            <wp:docPr id="1" name="Picture 2" descr="herbas_j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jb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10F3C" w14:textId="77777777" w:rsidR="003944CE" w:rsidRDefault="00AB2E62">
      <w:pPr>
        <w:widowControl w:val="0"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JONIŠKIO RAJONO SAVIVALDYBĖS TARYBA</w:t>
      </w:r>
    </w:p>
    <w:p w14:paraId="7D010F3D" w14:textId="77777777" w:rsidR="003944CE" w:rsidRDefault="003944CE">
      <w:pPr>
        <w:widowControl w:val="0"/>
        <w:jc w:val="center"/>
        <w:rPr>
          <w:szCs w:val="24"/>
        </w:rPr>
      </w:pPr>
    </w:p>
    <w:p w14:paraId="7D010F3E" w14:textId="77777777" w:rsidR="003944CE" w:rsidRDefault="00AB2E62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7D010F3F" w14:textId="77777777" w:rsidR="003944CE" w:rsidRDefault="00AB2E62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>
        <w:rPr>
          <w:b/>
          <w:szCs w:val="24"/>
          <w:lang w:eastAsia="lt-LT"/>
        </w:rPr>
        <w:t xml:space="preserve">VIETINĖS RINKLIAVOS NUSTATYMO UŽ LEIDIMO ATLIKTI ŽEMĖS DARBUS JONIŠKIO RAJONO SAVIVALDYBĖS VIEŠOJO NAUDOJIMO TERITORIJOSE </w:t>
      </w:r>
      <w:r>
        <w:rPr>
          <w:b/>
          <w:szCs w:val="24"/>
          <w:lang w:eastAsia="lt-LT"/>
        </w:rPr>
        <w:t>(GATVĖSE, ŠALIGATVIUOSE, VIETINĖS REIKŠMĖS KELIUOSE, AIKŠTĖSE, ŽALIUOSIUOSE PLOTUOSE) IR ŠIŲ LEIDIMŲ IŠDAVIMO TVARKOS APRAŠO PAKEITIMO</w:t>
      </w:r>
    </w:p>
    <w:p w14:paraId="7D010F40" w14:textId="77777777" w:rsidR="003944CE" w:rsidRDefault="003944CE">
      <w:pPr>
        <w:widowControl w:val="0"/>
        <w:ind w:hanging="30"/>
        <w:jc w:val="center"/>
        <w:rPr>
          <w:b/>
          <w:bCs/>
          <w:szCs w:val="24"/>
        </w:rPr>
      </w:pPr>
    </w:p>
    <w:p w14:paraId="7D010F41" w14:textId="77777777" w:rsidR="003944CE" w:rsidRDefault="00AB2E62">
      <w:pPr>
        <w:widowControl w:val="0"/>
        <w:ind w:hanging="30"/>
        <w:jc w:val="center"/>
        <w:rPr>
          <w:szCs w:val="24"/>
        </w:rPr>
      </w:pPr>
      <w:r>
        <w:rPr>
          <w:szCs w:val="24"/>
        </w:rPr>
        <w:t>2013 m. spalio 10 d. Nr. T-163</w:t>
      </w:r>
    </w:p>
    <w:p w14:paraId="7D010F42" w14:textId="77777777" w:rsidR="003944CE" w:rsidRDefault="00AB2E62">
      <w:pPr>
        <w:widowControl w:val="0"/>
        <w:ind w:hanging="28"/>
        <w:jc w:val="center"/>
        <w:rPr>
          <w:szCs w:val="24"/>
        </w:rPr>
      </w:pPr>
      <w:r>
        <w:rPr>
          <w:szCs w:val="24"/>
        </w:rPr>
        <w:t>Joniškis</w:t>
      </w:r>
    </w:p>
    <w:p w14:paraId="7D010F43" w14:textId="77777777" w:rsidR="003944CE" w:rsidRDefault="003944CE">
      <w:pPr>
        <w:widowControl w:val="0"/>
        <w:ind w:hanging="28"/>
        <w:jc w:val="center"/>
        <w:rPr>
          <w:szCs w:val="24"/>
          <w:lang w:eastAsia="lt-LT"/>
        </w:rPr>
      </w:pPr>
    </w:p>
    <w:p w14:paraId="7D010F44" w14:textId="77777777" w:rsidR="003944CE" w:rsidRDefault="003944CE">
      <w:pPr>
        <w:ind w:hanging="28"/>
        <w:jc w:val="center"/>
        <w:rPr>
          <w:sz w:val="28"/>
          <w:lang w:eastAsia="lt-LT"/>
        </w:rPr>
      </w:pPr>
    </w:p>
    <w:p w14:paraId="7D010F45" w14:textId="77777777" w:rsidR="003944CE" w:rsidRDefault="00AB2E62">
      <w:pPr>
        <w:widowControl w:val="0"/>
        <w:spacing w:line="360" w:lineRule="auto"/>
        <w:ind w:firstLine="851"/>
        <w:jc w:val="both"/>
        <w:rPr>
          <w:sz w:val="32"/>
          <w:lang w:eastAsia="lt-LT"/>
        </w:rPr>
      </w:pPr>
      <w:r>
        <w:rPr>
          <w:lang w:eastAsia="lt-LT"/>
        </w:rPr>
        <w:t>Vadovaudamasi Lietuvos Respublikos vietos savivaldos įstatymo (Žin., 1994, Nr.</w:t>
      </w:r>
      <w:r>
        <w:rPr>
          <w:lang w:eastAsia="lt-LT"/>
        </w:rPr>
        <w:t xml:space="preserve"> </w:t>
      </w:r>
      <w:hyperlink r:id="rId9" w:tgtFrame="_blank" w:history="1">
        <w:r>
          <w:rPr>
            <w:color w:val="0000FF" w:themeColor="hyperlink"/>
            <w:u w:val="single"/>
            <w:lang w:eastAsia="lt-LT"/>
          </w:rPr>
          <w:t>55-1049</w:t>
        </w:r>
      </w:hyperlink>
      <w:r>
        <w:rPr>
          <w:lang w:eastAsia="lt-LT"/>
        </w:rPr>
        <w:t xml:space="preserve">; 2008, Nr.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113-4290</w:t>
        </w:r>
      </w:hyperlink>
      <w:r>
        <w:rPr>
          <w:lang w:eastAsia="lt-LT"/>
        </w:rPr>
        <w:t xml:space="preserve">) 18 straipsnio 1 dalimi, </w:t>
      </w:r>
      <w:r>
        <w:t xml:space="preserve">Joniškio rajono savivaldybės taryba </w:t>
      </w:r>
      <w:r>
        <w:rPr>
          <w:spacing w:val="60"/>
        </w:rPr>
        <w:t>nusprend</w:t>
      </w:r>
      <w:r>
        <w:rPr>
          <w:spacing w:val="60"/>
        </w:rPr>
        <w:t>žia</w:t>
      </w:r>
    </w:p>
    <w:p w14:paraId="7D010F46" w14:textId="77777777" w:rsidR="003944CE" w:rsidRDefault="00AB2E62">
      <w:pPr>
        <w:widowControl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pakeisti Vietinės rinkliavos nustatymo už leidimo atlikti žemės darbus Joniškio rajono savivaldybės viešojo naudojimo teritorijose (gatvėse, šaligatviuose, vietinės reikšmės keliuose, aikštėse, žaliuosiuose plotuose) ir šių leidimų išdavimo tvarkos a</w:t>
      </w:r>
      <w:r>
        <w:rPr>
          <w:lang w:eastAsia="lt-LT"/>
        </w:rPr>
        <w:t>prašą, patvirtintą Joniškio rajono savivaldybės tarybos 2010 m. rugsėjo 23 d. sprendimu Nr. T-173:</w:t>
      </w:r>
    </w:p>
    <w:p w14:paraId="7D010F47" w14:textId="77777777" w:rsidR="003944CE" w:rsidRDefault="00AB2E62">
      <w:pPr>
        <w:widowControl w:val="0"/>
        <w:tabs>
          <w:tab w:val="left" w:pos="1418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  <w:t>11 ir 12 punktuose ir 1 priede vietoj žodžių „Vietinio ūkio ir turto“ įrašyti žodį „Infrastruktūros“;</w:t>
      </w:r>
    </w:p>
    <w:p w14:paraId="7D010F48" w14:textId="77777777" w:rsidR="003944CE" w:rsidRDefault="00AB2E62">
      <w:pPr>
        <w:widowControl w:val="0"/>
        <w:tabs>
          <w:tab w:val="left" w:pos="1418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</w:t>
      </w:r>
      <w:r>
        <w:rPr>
          <w:lang w:eastAsia="lt-LT"/>
        </w:rPr>
        <w:tab/>
        <w:t xml:space="preserve">6 ir 9.1 punktuose vietoj žodžio </w:t>
      </w:r>
      <w:r>
        <w:rPr>
          <w:lang w:eastAsia="lt-LT"/>
        </w:rPr>
        <w:t>„Statybos“ įrašyti žodžius „Ekonominės plėtros ir investicijų“;</w:t>
      </w:r>
    </w:p>
    <w:p w14:paraId="7D010F49" w14:textId="72DF067B" w:rsidR="003944CE" w:rsidRDefault="00AB2E62">
      <w:pPr>
        <w:widowControl w:val="0"/>
        <w:tabs>
          <w:tab w:val="left" w:pos="1418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</w:t>
      </w:r>
      <w:r>
        <w:rPr>
          <w:lang w:eastAsia="lt-LT"/>
        </w:rPr>
        <w:tab/>
        <w:t>išdėstyti 14.1 punktą taip:</w:t>
      </w:r>
    </w:p>
    <w:p w14:paraId="7D010F4B" w14:textId="7595BF0F" w:rsidR="003944CE" w:rsidRDefault="00AB2E62" w:rsidP="00AB2E62">
      <w:pPr>
        <w:widowControl w:val="0"/>
        <w:tabs>
          <w:tab w:val="left" w:pos="1134"/>
          <w:tab w:val="left" w:pos="1276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14.1</w:t>
      </w:r>
      <w:r>
        <w:rPr>
          <w:lang w:eastAsia="lt-LT"/>
        </w:rPr>
        <w:t>. banko mokestinį pavedimą, kad sumokėta apskaičiuoto dydžio rinkliava. Vietinės rinkliavos mokestis mokamas į Joniškio rajono savivaldybės administra</w:t>
      </w:r>
      <w:r>
        <w:rPr>
          <w:lang w:eastAsia="lt-LT"/>
        </w:rPr>
        <w:t>cijos sąskaitą banke (mokėjimo paskirtis „Už leidimo atlikti žemės darbus išdavimą“)</w:t>
      </w:r>
      <w:r>
        <w:t>“.</w:t>
      </w:r>
    </w:p>
    <w:p w14:paraId="7D010F4E" w14:textId="25C5FCFC" w:rsidR="003944CE" w:rsidRDefault="00AB2E62" w:rsidP="00AB2E62">
      <w:pPr>
        <w:widowControl w:val="0"/>
        <w:spacing w:line="360" w:lineRule="auto"/>
        <w:ind w:firstLine="851"/>
        <w:jc w:val="both"/>
      </w:pPr>
      <w:r>
        <w:t xml:space="preserve">Šis </w:t>
      </w:r>
      <w:r>
        <w:rPr>
          <w:iCs/>
        </w:rPr>
        <w:t>sprendimas</w:t>
      </w:r>
      <w:r>
        <w:t xml:space="preserve"> gali būti skundžiamas Lietuvos Respublikos administracinių bylų teisenos įstatymo (Žin., 1999, Nr. </w:t>
      </w:r>
      <w:hyperlink r:id="rId11" w:tgtFrame="_blank" w:history="1">
        <w:r>
          <w:rPr>
            <w:color w:val="0000FF" w:themeColor="hyperlink"/>
            <w:u w:val="single"/>
          </w:rPr>
          <w:t>13-308</w:t>
        </w:r>
      </w:hyperlink>
      <w:r>
        <w:t xml:space="preserve">; 2000, Nr. </w:t>
      </w:r>
      <w:hyperlink r:id="rId12" w:tgtFrame="_blank" w:history="1">
        <w:r>
          <w:rPr>
            <w:color w:val="0000FF" w:themeColor="hyperlink"/>
            <w:u w:val="single"/>
          </w:rPr>
          <w:t>85-2566</w:t>
        </w:r>
      </w:hyperlink>
      <w:r>
        <w:t xml:space="preserve">) ar Lietuvos Respublikos civilinio proceso kodekso (Žin., 2002, Nr. </w:t>
      </w:r>
      <w:hyperlink r:id="rId13" w:tgtFrame="_blank" w:history="1">
        <w:r>
          <w:rPr>
            <w:color w:val="0000FF" w:themeColor="hyperlink"/>
            <w:u w:val="single"/>
          </w:rPr>
          <w:t>36-1340</w:t>
        </w:r>
      </w:hyperlink>
      <w:r>
        <w:t>) nustatyta tvarka ir sąlygomis.</w:t>
      </w:r>
    </w:p>
    <w:bookmarkStart w:id="0" w:name="_GoBack" w:displacedByCustomXml="prev"/>
    <w:p w14:paraId="28778362" w14:textId="77777777" w:rsidR="00AB2E62" w:rsidRDefault="00AB2E62"/>
    <w:p w14:paraId="48B6A416" w14:textId="77777777" w:rsidR="00AB2E62" w:rsidRDefault="00AB2E62"/>
    <w:p w14:paraId="21C1B171" w14:textId="77777777" w:rsidR="00AB2E62" w:rsidRDefault="00AB2E62"/>
    <w:p w14:paraId="7D010F4F" w14:textId="0BF81E7F" w:rsidR="003944CE" w:rsidRDefault="00AB2E62"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Gediminas Čepulis</w:t>
      </w:r>
    </w:p>
    <w:bookmarkEnd w:id="0" w:displacedByCustomXml="next"/>
    <w:sectPr w:rsidR="003944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567" w:footer="22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10F54" w14:textId="77777777" w:rsidR="003944CE" w:rsidRDefault="00AB2E62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7D010F55" w14:textId="77777777" w:rsidR="003944CE" w:rsidRDefault="00AB2E62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0F5A" w14:textId="77777777" w:rsidR="003944CE" w:rsidRDefault="003944C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0F5B" w14:textId="77777777" w:rsidR="003944CE" w:rsidRDefault="003944C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0F5D" w14:textId="77777777" w:rsidR="003944CE" w:rsidRDefault="003944C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0F52" w14:textId="77777777" w:rsidR="003944CE" w:rsidRDefault="00AB2E62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7D010F53" w14:textId="77777777" w:rsidR="003944CE" w:rsidRDefault="00AB2E62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0F56" w14:textId="77777777" w:rsidR="003944CE" w:rsidRDefault="00AB2E62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US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PAGE  </w:instrText>
    </w:r>
    <w:r>
      <w:rPr>
        <w:sz w:val="20"/>
        <w:lang w:val="en-US"/>
      </w:rPr>
      <w:fldChar w:fldCharType="end"/>
    </w:r>
  </w:p>
  <w:p w14:paraId="7D010F57" w14:textId="77777777" w:rsidR="003944CE" w:rsidRDefault="003944CE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0F58" w14:textId="77777777" w:rsidR="003944CE" w:rsidRDefault="00AB2E62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US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PAGE  </w:instrText>
    </w:r>
    <w:r>
      <w:rPr>
        <w:sz w:val="20"/>
        <w:lang w:val="en-US"/>
      </w:rPr>
      <w:fldChar w:fldCharType="separate"/>
    </w:r>
    <w:r>
      <w:rPr>
        <w:sz w:val="20"/>
        <w:lang w:val="en-US"/>
      </w:rPr>
      <w:t>2</w:t>
    </w:r>
    <w:r>
      <w:rPr>
        <w:sz w:val="20"/>
        <w:lang w:val="en-US"/>
      </w:rPr>
      <w:fldChar w:fldCharType="end"/>
    </w:r>
  </w:p>
  <w:p w14:paraId="7D010F59" w14:textId="77777777" w:rsidR="003944CE" w:rsidRDefault="003944CE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0F5C" w14:textId="77777777" w:rsidR="003944CE" w:rsidRDefault="003944CE">
    <w:pPr>
      <w:tabs>
        <w:tab w:val="center" w:pos="4153"/>
        <w:tab w:val="right" w:pos="8306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B"/>
    <w:rsid w:val="003944CE"/>
    <w:rsid w:val="00AB2E62"/>
    <w:rsid w:val="00D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010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2E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2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F599A1A6DD5"/>
  <Relationship Id="rId11" Type="http://schemas.openxmlformats.org/officeDocument/2006/relationships/hyperlink" TargetMode="External" Target="https://www.e-tar.lt/portal/lt/legalAct/TAR.67B5099C5848"/>
  <Relationship Id="rId12" Type="http://schemas.openxmlformats.org/officeDocument/2006/relationships/hyperlink" TargetMode="External" Target="https://www.e-tar.lt/portal/lt/legalAct/TAR.78FAC7B20AD8"/>
  <Relationship Id="rId13" Type="http://schemas.openxmlformats.org/officeDocument/2006/relationships/hyperlink" TargetMode="External" Target="https://www.e-tar.lt/portal/lt/legalAct/TAR.2E7C18F61454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s://www.e-tar.lt/portal/lt/legalAct/TAR.D0CD0966D67F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7D"/>
    <w:rsid w:val="00B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1D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1D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1872</Characters>
  <Application>Microsoft Office Word</Application>
  <DocSecurity>0</DocSecurity>
  <Lines>15</Lines>
  <Paragraphs>4</Paragraphs>
  <ScaleCrop>false</ScaleCrop>
  <Company>Joniskio r. savivaldybe</Company>
  <LinksUpToDate>false</LinksUpToDate>
  <CharactersWithSpaces>2075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2015-07-26T07:47:00Z</dcterms:created>
  <dc:creator>Jolita Bureikaite</dc:creator>
  <lastModifiedBy>OSINOVSKAS Egidijus</lastModifiedBy>
  <lastPrinted>2009-02-21T08:16:00Z</lastPrinted>
  <dcterms:modified xsi:type="dcterms:W3CDTF">2015-11-25T07:11:00Z</dcterms:modified>
  <revision>3</revision>
  <dc:title>[Adresatas]</dc:title>
</coreProperties>
</file>