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9CCB9" w14:textId="77777777" w:rsidR="00DE5F58" w:rsidRDefault="006D4E7A">
      <w:pPr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5C69CD26" wp14:editId="5C69CD27">
            <wp:extent cx="504825" cy="590550"/>
            <wp:effectExtent l="0" t="0" r="0" b="0"/>
            <wp:docPr id="1" name="Picture 1" descr="baltos zuv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os zuv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CCBA" w14:textId="77777777" w:rsidR="00DE5F58" w:rsidRDefault="006D4E7A">
      <w:pPr>
        <w:jc w:val="center"/>
        <w:rPr>
          <w:b/>
          <w:szCs w:val="24"/>
        </w:rPr>
      </w:pPr>
      <w:r>
        <w:rPr>
          <w:b/>
          <w:szCs w:val="24"/>
        </w:rPr>
        <w:t>ŠVENČIONIŲ RAJONO SAVIVALDYBĖS TARYBA</w:t>
      </w:r>
    </w:p>
    <w:p w14:paraId="5C69CCBB" w14:textId="77777777" w:rsidR="00DE5F58" w:rsidRDefault="00DE5F58">
      <w:pPr>
        <w:jc w:val="center"/>
        <w:rPr>
          <w:b/>
          <w:szCs w:val="24"/>
        </w:rPr>
      </w:pPr>
    </w:p>
    <w:p w14:paraId="5C69CCBC" w14:textId="77777777" w:rsidR="00DE5F58" w:rsidRDefault="006D4E7A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5C69CCBD" w14:textId="77777777" w:rsidR="00DE5F58" w:rsidRDefault="006D4E7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ŠVENČIONIŲ RAJONO SAVIVALDYBĖS ATLIEKŲ TVARKYMO TAISYKLIŲ PAKEITIMO</w:t>
      </w:r>
    </w:p>
    <w:p w14:paraId="5C69CCBE" w14:textId="77777777" w:rsidR="00DE5F58" w:rsidRDefault="00DE5F58">
      <w:pPr>
        <w:jc w:val="center"/>
        <w:rPr>
          <w:b/>
          <w:bCs/>
          <w:szCs w:val="24"/>
        </w:rPr>
      </w:pPr>
    </w:p>
    <w:p w14:paraId="5C69CCBF" w14:textId="77777777" w:rsidR="00DE5F58" w:rsidRDefault="006D4E7A">
      <w:pPr>
        <w:jc w:val="center"/>
        <w:rPr>
          <w:b/>
          <w:bCs/>
          <w:szCs w:val="24"/>
        </w:rPr>
      </w:pPr>
      <w:r>
        <w:rPr>
          <w:szCs w:val="24"/>
        </w:rPr>
        <w:t>2008 m. lapkričio 6 d. Nr. T-174</w:t>
      </w:r>
    </w:p>
    <w:p w14:paraId="5C69CCC0" w14:textId="77777777" w:rsidR="00DE5F58" w:rsidRDefault="006D4E7A">
      <w:pPr>
        <w:jc w:val="center"/>
        <w:rPr>
          <w:szCs w:val="24"/>
        </w:rPr>
      </w:pPr>
      <w:r>
        <w:rPr>
          <w:szCs w:val="24"/>
        </w:rPr>
        <w:t>Švenčionys</w:t>
      </w:r>
    </w:p>
    <w:p w14:paraId="5C69CCC1" w14:textId="77777777" w:rsidR="00DE5F58" w:rsidRDefault="00DE5F58">
      <w:pPr>
        <w:jc w:val="center"/>
        <w:rPr>
          <w:szCs w:val="24"/>
        </w:rPr>
      </w:pPr>
    </w:p>
    <w:p w14:paraId="5C69CCC2" w14:textId="77777777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(Žin., 1994, Nr. </w:t>
      </w:r>
      <w:hyperlink r:id="rId7" w:tgtFrame="_blank" w:history="1">
        <w:r>
          <w:rPr>
            <w:color w:val="0000FF" w:themeColor="hyperlink"/>
            <w:szCs w:val="24"/>
            <w:u w:val="single"/>
          </w:rPr>
          <w:t>55-1049</w:t>
        </w:r>
      </w:hyperlink>
      <w:r>
        <w:rPr>
          <w:szCs w:val="24"/>
        </w:rPr>
        <w:t xml:space="preserve">; 2000, Nr. </w:t>
      </w:r>
      <w:hyperlink r:id="rId8" w:tgtFrame="_blank" w:history="1">
        <w:r>
          <w:rPr>
            <w:color w:val="0000FF" w:themeColor="hyperlink"/>
            <w:szCs w:val="24"/>
            <w:u w:val="single"/>
          </w:rPr>
          <w:t>91-2832</w:t>
        </w:r>
      </w:hyperlink>
      <w:r>
        <w:rPr>
          <w:szCs w:val="24"/>
        </w:rPr>
        <w:t xml:space="preserve">; 2004, Nr. </w:t>
      </w:r>
      <w:hyperlink r:id="rId9" w:tgtFrame="_blank" w:history="1">
        <w:r>
          <w:rPr>
            <w:color w:val="0000FF" w:themeColor="hyperlink"/>
            <w:szCs w:val="24"/>
            <w:u w:val="single"/>
          </w:rPr>
          <w:t>4-33</w:t>
        </w:r>
      </w:hyperlink>
      <w:r>
        <w:rPr>
          <w:szCs w:val="24"/>
        </w:rPr>
        <w:t xml:space="preserve">; 2008, Nr. </w:t>
      </w:r>
      <w:hyperlink r:id="rId10" w:tgtFrame="_blank" w:history="1">
        <w:r>
          <w:rPr>
            <w:color w:val="0000FF" w:themeColor="hyperlink"/>
            <w:szCs w:val="24"/>
            <w:u w:val="single"/>
          </w:rPr>
          <w:t>15-508</w:t>
        </w:r>
      </w:hyperlink>
      <w:r>
        <w:rPr>
          <w:szCs w:val="24"/>
        </w:rPr>
        <w:t xml:space="preserve"> ) 18 straipsnio 1 punktu, Švenčionių rajono savivaldybės taryba n u s p r e n d ž i a: </w:t>
      </w:r>
    </w:p>
    <w:p w14:paraId="5C69CCC3" w14:textId="2AD8CF6F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Švenčionių rajono savivaldybės ta</w:t>
      </w:r>
      <w:r>
        <w:rPr>
          <w:szCs w:val="24"/>
        </w:rPr>
        <w:t>rybos 2005 m. sausio 20 d. sprendimu Nr. T-3 patvirtintų Švenčionių rajono savivaldybės atliekų tvarkymo taisyklių:</w:t>
      </w:r>
    </w:p>
    <w:p w14:paraId="5C69CCC4" w14:textId="77777777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5.11. punktą ir jį išdėstyti nauja redakcija:</w:t>
      </w:r>
    </w:p>
    <w:p w14:paraId="5C69CCC5" w14:textId="77777777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5.11</w:t>
      </w:r>
      <w:r>
        <w:rPr>
          <w:szCs w:val="24"/>
        </w:rPr>
        <w:t>. Komunalinių atliekų konteinerių talpa ir jų ištuštinimo dažnumas:</w:t>
      </w:r>
    </w:p>
    <w:p w14:paraId="5C69CCC6" w14:textId="77777777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5.11.1</w:t>
      </w:r>
      <w:r>
        <w:rPr>
          <w:szCs w:val="24"/>
        </w:rPr>
        <w:t>. Pa</w:t>
      </w:r>
      <w:r>
        <w:rPr>
          <w:szCs w:val="24"/>
        </w:rPr>
        <w:t>bradės, Švenčionių ir Švenčionėlių miestuose, kolektyvinio naudojimo konteineriai, skirti daugiabučių namų gyventojams, tuštinami ne rečiau kaip 3 kartus per savaitę;</w:t>
      </w:r>
    </w:p>
    <w:p w14:paraId="5C69CCC7" w14:textId="77777777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5.11.2</w:t>
      </w:r>
      <w:r>
        <w:rPr>
          <w:szCs w:val="24"/>
        </w:rPr>
        <w:t>. miesteliuose ir kaimuose kolektyvinio naudojimo konteineriai, skirti daugiabu</w:t>
      </w:r>
      <w:r>
        <w:rPr>
          <w:szCs w:val="24"/>
        </w:rPr>
        <w:t xml:space="preserve">čių namų gyventojams, tuštinami ne rečiau kaip 1 kartą per 2 savaites; </w:t>
      </w:r>
    </w:p>
    <w:p w14:paraId="5C69CCC8" w14:textId="77777777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5.11.3</w:t>
      </w:r>
      <w:r>
        <w:rPr>
          <w:szCs w:val="24"/>
        </w:rPr>
        <w:t>. individualių namų valdų savininkai, kurie nesinaudoja kolektyviniu konteineriu, privalo iš atliekų tvarkymo paslaugas teikiančios įmonės įsigyti (nusipirkti ar išsinuomoti)</w:t>
      </w:r>
      <w:r>
        <w:rPr>
          <w:szCs w:val="24"/>
        </w:rPr>
        <w:t xml:space="preserve"> individualų konteinerį, kuris tuštinamas ne rečiau kaip 1 kartą per 2 savaites. Konteinerių dydį parenka komunalinių atliekų tvarkytojas pagal fiziniams ir juridiniams asmenims nustatytas metines atliekų susikaupimo normas ir konteinerių ištuštinimo dažnu</w:t>
      </w:r>
      <w:r>
        <w:rPr>
          <w:szCs w:val="24"/>
        </w:rPr>
        <w:t>mą;</w:t>
      </w:r>
      <w:r>
        <w:rPr>
          <w:szCs w:val="24"/>
        </w:rPr>
        <w:tab/>
      </w:r>
    </w:p>
    <w:p w14:paraId="5C69CCC9" w14:textId="77777777" w:rsidR="00DE5F58" w:rsidRDefault="006D4E7A">
      <w:pPr>
        <w:overflowPunct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5.11.4</w:t>
      </w:r>
      <w:r>
        <w:rPr>
          <w:szCs w:val="24"/>
        </w:rPr>
        <w:t>. antrinių žaliavų konteineriai, pastatyti viešose vietose, ištuštinami kai yra užpildyti ne mažiau kaip 3/4 jų tūrio.“</w:t>
      </w:r>
    </w:p>
    <w:p w14:paraId="5C69CCCA" w14:textId="5F9C6C02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6.10. punktą ir jį išdėstyti nauja redakcija:</w:t>
      </w:r>
    </w:p>
    <w:p w14:paraId="5C69CCCB" w14:textId="0EA71329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6.10</w:t>
      </w:r>
      <w:r>
        <w:rPr>
          <w:szCs w:val="24"/>
        </w:rPr>
        <w:t xml:space="preserve">. Nustatyti metines buitinių atliekų susikaupimo normas: </w:t>
      </w:r>
    </w:p>
    <w:p w14:paraId="5C69CCCC" w14:textId="77777777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6.10.1</w:t>
      </w:r>
      <w:r>
        <w:rPr>
          <w:szCs w:val="24"/>
        </w:rPr>
        <w:t>. individualių namų valdų ir daugiabučių namų butų gyventojams,  priklausomai nuo asmenų skaičiaus namų ūkyje (bute) rajono miestuose, miesteliuose, gyvenvietėse ir kaimuose – 1,5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vienam </w:t>
      </w:r>
      <w:r>
        <w:rPr>
          <w:szCs w:val="24"/>
        </w:rPr>
        <w:t>gyventojui per metus;</w:t>
      </w:r>
    </w:p>
    <w:p w14:paraId="5C69CCCD" w14:textId="77777777" w:rsidR="00DE5F58" w:rsidRDefault="006D4E7A">
      <w:pPr>
        <w:overflowPunct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6.10.2</w:t>
      </w:r>
      <w:r>
        <w:rPr>
          <w:szCs w:val="24"/>
        </w:rPr>
        <w:t>. įmonėms, įstaigoms ir organizacijoms bei juridinio asmens teisių neturinčioms įmonėms nustatyti tokias minimalias metines komunalinių atliekų (buitinių atliekų bei komercinės, pramoninės, institucijų bei kitokios prigimtie</w:t>
      </w:r>
      <w:r>
        <w:rPr>
          <w:szCs w:val="24"/>
        </w:rPr>
        <w:t xml:space="preserve">s atliekų, kurios savo pobūdžiu ir sudėtimi yra </w:t>
      </w:r>
      <w:r>
        <w:rPr>
          <w:szCs w:val="24"/>
        </w:rPr>
        <w:lastRenderedPageBreak/>
        <w:t>panašios į buitines atliekas) susikaupimo normas, priklausomai nuo darbuotojų skaičiaus ir/ar kitų žemiau išvardintų kriterijų:</w:t>
      </w:r>
    </w:p>
    <w:p w14:paraId="5C69CCCE" w14:textId="77777777" w:rsidR="00DE5F58" w:rsidRDefault="00DE5F58">
      <w:pPr>
        <w:overflowPunct w:val="0"/>
        <w:jc w:val="both"/>
        <w:rPr>
          <w:szCs w:val="24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2600"/>
        <w:gridCol w:w="1412"/>
        <w:gridCol w:w="2591"/>
      </w:tblGrid>
      <w:tr w:rsidR="00DE5F58" w14:paraId="5C69CCD3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CCCF" w14:textId="77777777" w:rsidR="00DE5F58" w:rsidRDefault="006D4E7A">
            <w:pPr>
              <w:keepLines/>
              <w:overflowPunct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Įmonių, įstaigų ir organizacijų grupė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C69CCD0" w14:textId="77777777" w:rsidR="00DE5F58" w:rsidRDefault="006D4E7A">
            <w:pPr>
              <w:keepLines/>
              <w:tabs>
                <w:tab w:val="center" w:pos="4320"/>
                <w:tab w:val="right" w:pos="8640"/>
              </w:tabs>
              <w:overflowPunct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Parametrai, kurie nusako susidarančių </w:t>
            </w:r>
            <w:r>
              <w:rPr>
                <w:b/>
                <w:szCs w:val="24"/>
              </w:rPr>
              <w:t>komunalinių atliekų kiekius (1 vienetui)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14:paraId="5C69CCD1" w14:textId="77777777" w:rsidR="00DE5F58" w:rsidRDefault="006D4E7A">
            <w:pPr>
              <w:keepLines/>
              <w:overflowPunct w:val="0"/>
              <w:spacing w:line="22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Atliekų susidarymo kiekis m</w:t>
            </w:r>
            <w:r>
              <w:rPr>
                <w:b/>
                <w:szCs w:val="24"/>
                <w:vertAlign w:val="superscript"/>
              </w:rPr>
              <w:t xml:space="preserve">3 </w:t>
            </w:r>
            <w:r>
              <w:rPr>
                <w:b/>
                <w:szCs w:val="24"/>
              </w:rPr>
              <w:t>per metus 1 vienetui</w:t>
            </w: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</w:tcPr>
          <w:p w14:paraId="5C69CCD2" w14:textId="77777777" w:rsidR="00DE5F58" w:rsidRDefault="006D4E7A">
            <w:pPr>
              <w:keepLines/>
              <w:overflowPunct w:val="0"/>
              <w:spacing w:line="22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Pastabos</w:t>
            </w:r>
          </w:p>
        </w:tc>
      </w:tr>
      <w:tr w:rsidR="00DE5F58" w14:paraId="5C69CCD8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CCD4" w14:textId="77777777" w:rsidR="00DE5F58" w:rsidRDefault="006D4E7A">
            <w:pPr>
              <w:keepLines/>
              <w:overflowPunct w:val="0"/>
              <w:rPr>
                <w:szCs w:val="24"/>
              </w:rPr>
            </w:pPr>
            <w:r>
              <w:rPr>
                <w:szCs w:val="24"/>
              </w:rPr>
              <w:t>Prekybos organizacijos (didmeninės ir mažmeninės), parduotuvės, prekybos kioskai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C69CCD5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Darbuotojų (pardavėjų) skaičius 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14:paraId="5C69CCD6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</w:tcPr>
          <w:p w14:paraId="5C69CCD7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Darbuotojų skaičius nustatomas skaiči</w:t>
            </w:r>
            <w:r>
              <w:rPr>
                <w:szCs w:val="24"/>
              </w:rPr>
              <w:t>uojant metinį vidutinį sausio 1 dienai</w:t>
            </w:r>
          </w:p>
        </w:tc>
      </w:tr>
      <w:tr w:rsidR="00DE5F58" w14:paraId="5C69CCDD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CCD9" w14:textId="77777777" w:rsidR="00DE5F58" w:rsidRDefault="006D4E7A">
            <w:pPr>
              <w:keepLines/>
              <w:overflowPunct w:val="0"/>
              <w:rPr>
                <w:szCs w:val="24"/>
              </w:rPr>
            </w:pPr>
            <w:r>
              <w:rPr>
                <w:szCs w:val="24"/>
              </w:rPr>
              <w:t>Specializuotos ne maisto parduotuvės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C69CCDA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Darbuotojų (pardavėjų) skaičius 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CDB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CDC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Darbuotojų skaičius nustatomas skaičiuojant metinį vidutinį sausio 1 dienai</w:t>
            </w:r>
          </w:p>
        </w:tc>
      </w:tr>
      <w:tr w:rsidR="00DE5F58" w14:paraId="5C69CCE2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CCDE" w14:textId="77777777" w:rsidR="00DE5F58" w:rsidRDefault="006D4E7A">
            <w:pPr>
              <w:keepLines/>
              <w:overflowPunct w:val="0"/>
              <w:rPr>
                <w:szCs w:val="24"/>
              </w:rPr>
            </w:pPr>
            <w:r>
              <w:rPr>
                <w:szCs w:val="24"/>
              </w:rPr>
              <w:t>Turgavietės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CDF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Bendras plotas (1 m²)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CE0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CE1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Apskaičiuojama pagal turgavietės bendrą plotą </w:t>
            </w:r>
          </w:p>
        </w:tc>
      </w:tr>
      <w:tr w:rsidR="00DE5F58" w14:paraId="5C69CCE7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CCE3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Restoranai, kavinės, barai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C69CCE4" w14:textId="77777777" w:rsidR="00DE5F58" w:rsidRDefault="006D4E7A">
            <w:pPr>
              <w:keepLines/>
              <w:tabs>
                <w:tab w:val="center" w:pos="4320"/>
                <w:tab w:val="right" w:pos="864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 xml:space="preserve">Darbuotojų skaičius 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CE5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CE6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Darbuotojų skaičius nustatomas skaičiuojant metinį vidutinį sausio 1 dienai</w:t>
            </w:r>
          </w:p>
        </w:tc>
      </w:tr>
      <w:tr w:rsidR="00DE5F58" w14:paraId="5C69CCEC" w14:textId="77777777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5C69CCE8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Viešbučiai, moteliai, svečių namai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5C69CCE9" w14:textId="77777777" w:rsidR="00DE5F58" w:rsidRDefault="006D4E7A">
            <w:pPr>
              <w:keepLines/>
              <w:tabs>
                <w:tab w:val="center" w:pos="4320"/>
                <w:tab w:val="right" w:pos="864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Vietų skaičius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14:paraId="5C69CCEA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</w:tcPr>
          <w:p w14:paraId="5C69CCEB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Skaičiuojama pagal </w:t>
            </w:r>
            <w:r>
              <w:rPr>
                <w:szCs w:val="24"/>
              </w:rPr>
              <w:t>faktinį darbo laiką</w:t>
            </w:r>
          </w:p>
        </w:tc>
      </w:tr>
      <w:tr w:rsidR="00DE5F58" w14:paraId="5C69CCF1" w14:textId="77777777">
        <w:tc>
          <w:tcPr>
            <w:tcW w:w="2977" w:type="dxa"/>
            <w:tcBorders>
              <w:left w:val="single" w:sz="4" w:space="0" w:color="auto"/>
            </w:tcBorders>
          </w:tcPr>
          <w:p w14:paraId="5C69CCED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Bendrabučiai, internatai</w:t>
            </w:r>
          </w:p>
        </w:tc>
        <w:tc>
          <w:tcPr>
            <w:tcW w:w="2550" w:type="dxa"/>
            <w:tcBorders>
              <w:bottom w:val="single" w:sz="6" w:space="0" w:color="auto"/>
            </w:tcBorders>
          </w:tcPr>
          <w:p w14:paraId="5C69CCEE" w14:textId="77777777" w:rsidR="00DE5F58" w:rsidRDefault="006D4E7A">
            <w:pPr>
              <w:keepLines/>
              <w:tabs>
                <w:tab w:val="center" w:pos="4320"/>
                <w:tab w:val="right" w:pos="864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Vietų skaičius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C69CCEF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5C69CCF0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Vietų skaičius nustatomas lovadienius dalinant iš laikotarpio kalendorinių dienų</w:t>
            </w:r>
          </w:p>
        </w:tc>
      </w:tr>
      <w:tr w:rsidR="00DE5F58" w14:paraId="5C69CCF8" w14:textId="77777777">
        <w:tc>
          <w:tcPr>
            <w:tcW w:w="2977" w:type="dxa"/>
            <w:tcBorders>
              <w:left w:val="single" w:sz="4" w:space="0" w:color="auto"/>
            </w:tcBorders>
          </w:tcPr>
          <w:p w14:paraId="5C69CCF2" w14:textId="77777777" w:rsidR="00DE5F58" w:rsidRDefault="006D4E7A">
            <w:pPr>
              <w:keepLines/>
              <w:overflowPunct w:val="0"/>
              <w:spacing w:line="220" w:lineRule="atLeast"/>
              <w:ind w:firstLine="60"/>
              <w:rPr>
                <w:szCs w:val="24"/>
              </w:rPr>
            </w:pPr>
            <w:r>
              <w:rPr>
                <w:szCs w:val="24"/>
              </w:rPr>
              <w:t xml:space="preserve">Mokyklos, mokymo įstaigos, vaikų darželiai ir lopšeliai  </w:t>
            </w:r>
          </w:p>
          <w:p w14:paraId="5C69CCF3" w14:textId="77777777" w:rsidR="00DE5F58" w:rsidRDefault="00DE5F58">
            <w:pPr>
              <w:keepLines/>
              <w:overflowPunct w:val="0"/>
              <w:spacing w:line="220" w:lineRule="atLeast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</w:tcBorders>
          </w:tcPr>
          <w:p w14:paraId="5C69CCF4" w14:textId="77777777" w:rsidR="00DE5F58" w:rsidRDefault="006D4E7A">
            <w:pPr>
              <w:keepLines/>
              <w:tabs>
                <w:tab w:val="center" w:pos="4320"/>
                <w:tab w:val="right" w:pos="864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 xml:space="preserve">Moksleivių, vaikų skaičius </w:t>
            </w:r>
          </w:p>
          <w:p w14:paraId="5C69CCF5" w14:textId="77777777" w:rsidR="00DE5F58" w:rsidRDefault="00DE5F58">
            <w:pPr>
              <w:keepLines/>
              <w:tabs>
                <w:tab w:val="center" w:pos="4320"/>
                <w:tab w:val="right" w:pos="8640"/>
              </w:tabs>
              <w:overflowPunct w:val="0"/>
              <w:rPr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C69CCF6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5C69CCF7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Moksleivių, </w:t>
            </w:r>
            <w:r>
              <w:rPr>
                <w:szCs w:val="24"/>
              </w:rPr>
              <w:t>vaikų skaičius rugsėjo 1 dienai</w:t>
            </w:r>
          </w:p>
        </w:tc>
      </w:tr>
      <w:tr w:rsidR="00DE5F58" w14:paraId="5C69CCFD" w14:textId="77777777">
        <w:tc>
          <w:tcPr>
            <w:tcW w:w="2977" w:type="dxa"/>
            <w:tcBorders>
              <w:left w:val="single" w:sz="4" w:space="0" w:color="auto"/>
            </w:tcBorders>
          </w:tcPr>
          <w:p w14:paraId="5C69CCF9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Gydyklos (ligoninės,  slaugos namai, pensionatai)</w:t>
            </w:r>
          </w:p>
        </w:tc>
        <w:tc>
          <w:tcPr>
            <w:tcW w:w="2550" w:type="dxa"/>
          </w:tcPr>
          <w:p w14:paraId="5C69CCFA" w14:textId="77777777" w:rsidR="00DE5F58" w:rsidRDefault="006D4E7A">
            <w:pPr>
              <w:keepLines/>
              <w:tabs>
                <w:tab w:val="center" w:pos="4320"/>
                <w:tab w:val="right" w:pos="864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 xml:space="preserve">Vietų skaičius 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C69CCFB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5C69CCFC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Vietų skaičius nustatomas lovadienius dalinant iš laikotarpio kalendorinių dienų</w:t>
            </w:r>
          </w:p>
        </w:tc>
      </w:tr>
      <w:tr w:rsidR="00DE5F58" w14:paraId="5C69CD02" w14:textId="77777777">
        <w:trPr>
          <w:trHeight w:val="338"/>
        </w:trPr>
        <w:tc>
          <w:tcPr>
            <w:tcW w:w="2977" w:type="dxa"/>
            <w:tcBorders>
              <w:left w:val="single" w:sz="4" w:space="0" w:color="auto"/>
            </w:tcBorders>
          </w:tcPr>
          <w:p w14:paraId="5C69CCFE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Sveikatos priežiūros centrai (poliklinikos, ambulatorijos, medicininiai</w:t>
            </w:r>
            <w:r>
              <w:rPr>
                <w:szCs w:val="24"/>
              </w:rPr>
              <w:t xml:space="preserve"> punktai)</w:t>
            </w:r>
          </w:p>
        </w:tc>
        <w:tc>
          <w:tcPr>
            <w:tcW w:w="2550" w:type="dxa"/>
          </w:tcPr>
          <w:p w14:paraId="5C69CCFF" w14:textId="77777777" w:rsidR="00DE5F58" w:rsidRDefault="006D4E7A">
            <w:pPr>
              <w:keepLines/>
              <w:tabs>
                <w:tab w:val="center" w:pos="4320"/>
                <w:tab w:val="right" w:pos="864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Darbuotojų skaičius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C69CD00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5C69CD01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Darbuotojų skaičius nustatomas skaičiuojant metinį vidutinį sausio 1 dienai</w:t>
            </w:r>
          </w:p>
        </w:tc>
      </w:tr>
      <w:tr w:rsidR="00DE5F58" w14:paraId="5C69CD08" w14:textId="77777777">
        <w:trPr>
          <w:trHeight w:val="33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5C69CD03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Įstaigos ir organizacijos</w:t>
            </w:r>
          </w:p>
          <w:p w14:paraId="5C69CD04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(viešieji ir privatūs biurai)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C69CD05" w14:textId="77777777" w:rsidR="00DE5F58" w:rsidRDefault="006D4E7A">
            <w:pPr>
              <w:keepLines/>
              <w:tabs>
                <w:tab w:val="center" w:pos="4320"/>
                <w:tab w:val="right" w:pos="864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Darbuotojų skaičius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14:paraId="5C69CD06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</w:tcPr>
          <w:p w14:paraId="5C69CD07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Darbuotojų skaičius nustatomas skaičiuojant metinį vidutinį </w:t>
            </w:r>
            <w:r>
              <w:rPr>
                <w:szCs w:val="24"/>
              </w:rPr>
              <w:t>sausio 1 dienai</w:t>
            </w:r>
          </w:p>
        </w:tc>
      </w:tr>
      <w:tr w:rsidR="00DE5F58" w14:paraId="5C69CD0D" w14:textId="77777777">
        <w:trPr>
          <w:trHeight w:val="1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CD09" w14:textId="77777777" w:rsidR="00DE5F58" w:rsidRDefault="006D4E7A">
            <w:pPr>
              <w:keepLines/>
              <w:overflowPunct w:val="0"/>
              <w:rPr>
                <w:szCs w:val="24"/>
              </w:rPr>
            </w:pPr>
            <w:r>
              <w:rPr>
                <w:szCs w:val="24"/>
              </w:rPr>
              <w:t>Įmonės, užsiimančios  žemės ūkio gamyba (žemės ūkio bendrovės, ūkininko ūkiai)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C69CD0A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>Darbuotojų skaičius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D0B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D0C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Darbuotojų skaičius nustatomas skaičiuojant metinį vidutinį sausio 1 dienai</w:t>
            </w:r>
          </w:p>
        </w:tc>
      </w:tr>
      <w:tr w:rsidR="00DE5F58" w14:paraId="5C69CD12" w14:textId="77777777">
        <w:trPr>
          <w:trHeight w:val="1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CD0E" w14:textId="77777777" w:rsidR="00DE5F58" w:rsidRDefault="006D4E7A">
            <w:pPr>
              <w:keepLines/>
              <w:overflowPunct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Įmonės (pramonės, statybos, paslaugų ir kitos įmonės), t. </w:t>
            </w:r>
            <w:r>
              <w:rPr>
                <w:szCs w:val="24"/>
              </w:rPr>
              <w:t>y. visos įmonės, nepriskirtos aukščiau esančioms grupėms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C69CD0F" w14:textId="77777777" w:rsidR="00DE5F58" w:rsidRDefault="006D4E7A">
            <w:pPr>
              <w:keepLines/>
              <w:overflowPunct w:val="0"/>
              <w:spacing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Darbuotojų skaičius 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D10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D11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Darbuotojų skaičius nustatomas skaičiuojant metinį vidutinį sausio 1 dienai</w:t>
            </w:r>
          </w:p>
        </w:tc>
      </w:tr>
      <w:tr w:rsidR="00DE5F58" w14:paraId="5C69CD17" w14:textId="77777777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5C69CD13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Sodų bendrijoms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5C69CD14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Valdų skaičius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14:paraId="5C69CD15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</w:tcPr>
          <w:p w14:paraId="5C69CD16" w14:textId="77777777" w:rsidR="00DE5F58" w:rsidRDefault="00DE5F58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</w:p>
        </w:tc>
      </w:tr>
      <w:tr w:rsidR="00DE5F58" w14:paraId="5C69CD1C" w14:textId="77777777">
        <w:trPr>
          <w:trHeight w:val="33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5C69CD18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Garažų bendrijoms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C69CD19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Valdų skaičius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14:paraId="5C69CD1A" w14:textId="77777777" w:rsidR="00DE5F58" w:rsidRDefault="006D4E7A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</w:tcPr>
          <w:p w14:paraId="5C69CD1B" w14:textId="77777777" w:rsidR="00DE5F58" w:rsidRDefault="00DE5F58">
            <w:pPr>
              <w:keepLines/>
              <w:overflowPunct w:val="0"/>
              <w:spacing w:line="220" w:lineRule="atLeast"/>
              <w:jc w:val="both"/>
              <w:rPr>
                <w:szCs w:val="24"/>
              </w:rPr>
            </w:pPr>
          </w:p>
        </w:tc>
      </w:tr>
    </w:tbl>
    <w:p w14:paraId="5C69CD1D" w14:textId="250106B3" w:rsidR="00DE5F58" w:rsidRDefault="006D4E7A">
      <w:pPr>
        <w:jc w:val="both"/>
        <w:rPr>
          <w:szCs w:val="24"/>
        </w:rPr>
      </w:pPr>
    </w:p>
    <w:p w14:paraId="5C69CD1E" w14:textId="5CA3090D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kern w:val="16"/>
          <w:szCs w:val="24"/>
        </w:rPr>
        <w:t xml:space="preserve">Papildyti </w:t>
      </w:r>
      <w:r>
        <w:rPr>
          <w:kern w:val="16"/>
          <w:szCs w:val="24"/>
        </w:rPr>
        <w:t>Švenčionių rajono savivaldybės tarybos 2005 m. sausio 20 d. sprendimu Nr. T-3 patvirtintas Švenčionių rajono savivaldybės atliekų tvarkymo taisykles</w:t>
      </w:r>
      <w:r>
        <w:rPr>
          <w:szCs w:val="24"/>
        </w:rPr>
        <w:t xml:space="preserve"> 6.11. punktu ir jį išdėstyti taip:</w:t>
      </w:r>
    </w:p>
    <w:p w14:paraId="5C69CD1F" w14:textId="5378A225" w:rsidR="00DE5F58" w:rsidRDefault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„6.11. Juridiniai asmenys (įmonės, įstaigos ir organizacijos), veikianty</w:t>
      </w:r>
      <w:r>
        <w:rPr>
          <w:szCs w:val="24"/>
        </w:rPr>
        <w:t>s daugiabučiuose namuose arba pastatuose, kur netikslinga ar negalima pastatyti individualius konteinerius (kai pastate yra daug juridinių asmenų; o taip pat kioskai, paviljonai ir pan.), naudojasi bendrais kolektyviniais konteineriais ir moka už komunalin</w:t>
      </w:r>
      <w:r>
        <w:rPr>
          <w:szCs w:val="24"/>
        </w:rPr>
        <w:t>ių atliekų surinkimą, išvežimą ir jų tvarkymą pagal savivaldybės atliekų tvarkymo taisyklėse nustatytas atliekų susikaupimo normas.“</w:t>
      </w:r>
    </w:p>
    <w:p w14:paraId="5C69CD20" w14:textId="77777777" w:rsidR="00DE5F58" w:rsidRDefault="006D4E7A">
      <w:pPr>
        <w:spacing w:line="360" w:lineRule="auto"/>
        <w:ind w:firstLine="709"/>
        <w:jc w:val="both"/>
        <w:rPr>
          <w:bCs/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Nustatyti, kad šis  sprendimas įsigalioja 2008 m. gruodžio 1 d. </w:t>
      </w:r>
    </w:p>
    <w:p w14:paraId="5C69CD24" w14:textId="01EC84B8" w:rsidR="00DE5F58" w:rsidRDefault="006D4E7A" w:rsidP="006D4E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. Pavesti rajono savivaldybės administracijai informuoti oficialiu pranešimu apie priimtą  šį sprendimą  vietinėje spaudoje  ir paskelbti šio sprendimo tekstą  savivaldybės interneto tinklalapyje: </w:t>
      </w:r>
      <w:r>
        <w:rPr>
          <w:szCs w:val="24"/>
          <w:u w:val="single"/>
        </w:rPr>
        <w:t xml:space="preserve">www. </w:t>
      </w:r>
      <w:proofErr w:type="spellStart"/>
      <w:r>
        <w:rPr>
          <w:szCs w:val="24"/>
          <w:u w:val="single"/>
        </w:rPr>
        <w:t>svencionys.lt</w:t>
      </w:r>
      <w:proofErr w:type="spellEnd"/>
      <w:r>
        <w:rPr>
          <w:szCs w:val="24"/>
          <w:u w:val="single"/>
        </w:rPr>
        <w:t>.</w:t>
      </w:r>
    </w:p>
    <w:p w14:paraId="44FF47F7" w14:textId="77777777" w:rsidR="006D4E7A" w:rsidRDefault="006D4E7A"/>
    <w:p w14:paraId="029C7B8C" w14:textId="77777777" w:rsidR="006D4E7A" w:rsidRDefault="006D4E7A"/>
    <w:p w14:paraId="483C6128" w14:textId="77777777" w:rsidR="006D4E7A" w:rsidRDefault="006D4E7A"/>
    <w:p w14:paraId="5C69CD25" w14:textId="1078BAA1" w:rsidR="00DE5F58" w:rsidRDefault="006D4E7A">
      <w:pPr>
        <w:rPr>
          <w:szCs w:val="24"/>
        </w:rPr>
      </w:pPr>
      <w:bookmarkStart w:id="0" w:name="_GoBack"/>
      <w:bookmarkEnd w:id="0"/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Vytauta</w:t>
      </w:r>
      <w:r>
        <w:rPr>
          <w:szCs w:val="24"/>
        </w:rPr>
        <w:t>s Vigelis</w:t>
      </w:r>
    </w:p>
    <w:sectPr w:rsidR="00DE5F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FE"/>
    <w:rsid w:val="006D4E7A"/>
    <w:rsid w:val="00DE5F58"/>
    <w:rsid w:val="00E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9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D4E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D4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FD76D6D4DE1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hyperlink" TargetMode="External" Target="https://www.e-tar.lt/portal/lt/legalAct/TAR.D0CD0966D67F"/>
  <Relationship Id="rId8" Type="http://schemas.openxmlformats.org/officeDocument/2006/relationships/hyperlink" TargetMode="External" Target="https://www.e-tar.lt/portal/lt/legalAct/TAR.10AE4E66691A"/>
  <Relationship Id="rId9" Type="http://schemas.openxmlformats.org/officeDocument/2006/relationships/hyperlink" TargetMode="External" Target="https://www.e-tar.lt/portal/lt/legalAct/TAR.7631DD1CF992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0E"/>
    <w:rsid w:val="007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3E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3E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5754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2015-07-28T00:17:00Z</dcterms:created>
  <dc:creator>Svietimo skyriaus sekretorė</dc:creator>
  <lastModifiedBy>GUMBYTĖ Danguolė</lastModifiedBy>
  <lastPrinted>2005-01-12T11:25:00Z</lastPrinted>
  <dcterms:modified xsi:type="dcterms:W3CDTF">2016-03-22T12:41:00Z</dcterms:modified>
  <revision>3</revision>
  <dc:title>ŠVENČIONIŲ RAJONO SAVIVALDYBĖS TARYBA</dc:title>
</coreProperties>
</file>