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897FC" w14:textId="2EEC8B7B" w:rsidR="00EA2B95" w:rsidRDefault="00AF235F" w:rsidP="00AF235F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71F89873" wp14:editId="71F89874">
            <wp:extent cx="390525" cy="466725"/>
            <wp:effectExtent l="0" t="0" r="9525" b="9525"/>
            <wp:docPr id="1" name="Paveikslėlis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897FE" w14:textId="77777777" w:rsidR="00EA2B95" w:rsidRDefault="00AF235F">
      <w:pPr>
        <w:jc w:val="center"/>
        <w:rPr>
          <w:b/>
          <w:szCs w:val="24"/>
        </w:rPr>
      </w:pPr>
      <w:r>
        <w:rPr>
          <w:b/>
          <w:szCs w:val="24"/>
        </w:rPr>
        <w:t>VILNIAUS MIESTO SAVIVALDYBĖS</w:t>
      </w:r>
    </w:p>
    <w:p w14:paraId="71F897FF" w14:textId="77777777" w:rsidR="00EA2B95" w:rsidRDefault="00AF235F">
      <w:pPr>
        <w:jc w:val="center"/>
        <w:rPr>
          <w:szCs w:val="24"/>
        </w:rPr>
      </w:pPr>
      <w:r>
        <w:rPr>
          <w:b/>
          <w:szCs w:val="24"/>
        </w:rPr>
        <w:t>TARYBA</w:t>
      </w:r>
    </w:p>
    <w:p w14:paraId="71F89800" w14:textId="77777777" w:rsidR="00EA2B95" w:rsidRDefault="00EA2B95">
      <w:pPr>
        <w:rPr>
          <w:szCs w:val="24"/>
        </w:rPr>
      </w:pPr>
    </w:p>
    <w:p w14:paraId="71F89801" w14:textId="77777777" w:rsidR="00EA2B95" w:rsidRDefault="00AF235F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71F89802" w14:textId="77777777" w:rsidR="00EA2B95" w:rsidRDefault="00AF235F">
      <w:pPr>
        <w:jc w:val="center"/>
        <w:rPr>
          <w:b/>
          <w:szCs w:val="24"/>
        </w:rPr>
      </w:pPr>
      <w:r>
        <w:rPr>
          <w:b/>
          <w:szCs w:val="24"/>
        </w:rPr>
        <w:t>DĖL TARYBOS 2011-11-23 SPRENDIMO NR. 1-326 „DĖL TVARKYMO IR ŠVAROS TAISYKLIŲ TVIRTINIMO“ PAKEITIMO</w:t>
      </w:r>
    </w:p>
    <w:p w14:paraId="71F89803" w14:textId="77777777" w:rsidR="00EA2B95" w:rsidRDefault="00EA2B95">
      <w:pPr>
        <w:jc w:val="center"/>
        <w:rPr>
          <w:szCs w:val="24"/>
        </w:rPr>
      </w:pPr>
    </w:p>
    <w:p w14:paraId="71F89804" w14:textId="77777777" w:rsidR="00EA2B95" w:rsidRDefault="00AF235F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>. birželio 20 d. Nr. 1-670</w:t>
      </w:r>
    </w:p>
    <w:p w14:paraId="71F89805" w14:textId="77777777" w:rsidR="00EA2B95" w:rsidRDefault="00AF235F">
      <w:pPr>
        <w:jc w:val="center"/>
        <w:rPr>
          <w:szCs w:val="24"/>
        </w:rPr>
      </w:pPr>
      <w:r>
        <w:rPr>
          <w:szCs w:val="24"/>
        </w:rPr>
        <w:t>Vilnius</w:t>
      </w:r>
    </w:p>
    <w:p w14:paraId="71F89806" w14:textId="77777777" w:rsidR="00EA2B95" w:rsidRDefault="00EA2B95">
      <w:pPr>
        <w:jc w:val="center"/>
        <w:rPr>
          <w:szCs w:val="24"/>
        </w:rPr>
      </w:pPr>
    </w:p>
    <w:p w14:paraId="39935473" w14:textId="77777777" w:rsidR="00AF235F" w:rsidRDefault="00AF235F">
      <w:pPr>
        <w:jc w:val="center"/>
        <w:rPr>
          <w:szCs w:val="24"/>
        </w:rPr>
      </w:pPr>
    </w:p>
    <w:p w14:paraId="71F89807" w14:textId="77777777" w:rsidR="00EA2B95" w:rsidRPr="00AF235F" w:rsidRDefault="00AF235F">
      <w:pPr>
        <w:ind w:firstLine="720"/>
        <w:jc w:val="both"/>
        <w:rPr>
          <w:color w:val="000000" w:themeColor="text1"/>
          <w:szCs w:val="24"/>
        </w:rPr>
      </w:pPr>
      <w:r w:rsidRPr="00AF235F">
        <w:rPr>
          <w:color w:val="000000" w:themeColor="text1"/>
          <w:szCs w:val="24"/>
        </w:rPr>
        <w:t xml:space="preserve">Vadovaudamasi Lietuvos Respublikos vietos savivaldos įstatymo 16 straipsnio 2 dalies 36 punktu (Žin., 1994, Nr. </w:t>
      </w:r>
      <w:hyperlink r:id="rId9" w:tgtFrame="_blank" w:history="1">
        <w:r w:rsidRPr="00AF235F">
          <w:rPr>
            <w:color w:val="000000" w:themeColor="text1"/>
            <w:szCs w:val="24"/>
          </w:rPr>
          <w:t>55-1049</w:t>
        </w:r>
      </w:hyperlink>
      <w:r w:rsidRPr="00AF235F">
        <w:rPr>
          <w:color w:val="000000" w:themeColor="text1"/>
          <w:szCs w:val="24"/>
        </w:rPr>
        <w:t xml:space="preserve">; 2000, Nr. </w:t>
      </w:r>
      <w:hyperlink r:id="rId10" w:tgtFrame="_blank" w:history="1">
        <w:r w:rsidRPr="00AF235F">
          <w:rPr>
            <w:color w:val="000000" w:themeColor="text1"/>
            <w:szCs w:val="24"/>
          </w:rPr>
          <w:t>91-2832</w:t>
        </w:r>
      </w:hyperlink>
      <w:r w:rsidRPr="00AF235F">
        <w:rPr>
          <w:color w:val="000000" w:themeColor="text1"/>
          <w:szCs w:val="24"/>
        </w:rPr>
        <w:t xml:space="preserve">; 2008, Nr. </w:t>
      </w:r>
      <w:hyperlink r:id="rId11" w:tgtFrame="_blank" w:history="1">
        <w:r w:rsidRPr="00AF235F">
          <w:rPr>
            <w:color w:val="000000" w:themeColor="text1"/>
            <w:szCs w:val="24"/>
          </w:rPr>
          <w:t>113-4290</w:t>
        </w:r>
      </w:hyperlink>
      <w:r w:rsidRPr="00AF235F">
        <w:rPr>
          <w:color w:val="000000" w:themeColor="text1"/>
          <w:szCs w:val="24"/>
        </w:rPr>
        <w:t xml:space="preserve">, Nr. </w:t>
      </w:r>
      <w:hyperlink r:id="rId12" w:tgtFrame="_blank" w:history="1">
        <w:r w:rsidRPr="00AF235F">
          <w:rPr>
            <w:color w:val="000000" w:themeColor="text1"/>
            <w:szCs w:val="24"/>
          </w:rPr>
          <w:t>137-5379</w:t>
        </w:r>
      </w:hyperlink>
      <w:r w:rsidRPr="00AF235F">
        <w:rPr>
          <w:color w:val="000000" w:themeColor="text1"/>
          <w:szCs w:val="24"/>
        </w:rPr>
        <w:t xml:space="preserve">; 2009, Nr. </w:t>
      </w:r>
      <w:hyperlink r:id="rId13" w:tgtFrame="_blank" w:history="1">
        <w:r w:rsidRPr="00AF235F">
          <w:rPr>
            <w:color w:val="000000" w:themeColor="text1"/>
            <w:szCs w:val="24"/>
          </w:rPr>
          <w:t>77-3165</w:t>
        </w:r>
      </w:hyperlink>
      <w:r w:rsidRPr="00AF235F">
        <w:rPr>
          <w:color w:val="000000" w:themeColor="text1"/>
          <w:szCs w:val="24"/>
        </w:rPr>
        <w:t xml:space="preserve">, Nr. </w:t>
      </w:r>
      <w:hyperlink r:id="rId14" w:tgtFrame="_blank" w:history="1">
        <w:r w:rsidRPr="00AF235F">
          <w:rPr>
            <w:color w:val="000000" w:themeColor="text1"/>
            <w:szCs w:val="24"/>
          </w:rPr>
          <w:t>159-7206</w:t>
        </w:r>
      </w:hyperlink>
      <w:r w:rsidRPr="00AF235F">
        <w:rPr>
          <w:color w:val="000000" w:themeColor="text1"/>
          <w:szCs w:val="24"/>
        </w:rPr>
        <w:t xml:space="preserve">; 2010, Nr. </w:t>
      </w:r>
      <w:hyperlink r:id="rId15" w:tgtFrame="_blank" w:history="1">
        <w:r w:rsidRPr="00AF235F">
          <w:rPr>
            <w:color w:val="000000" w:themeColor="text1"/>
            <w:szCs w:val="24"/>
          </w:rPr>
          <w:t>25-1177</w:t>
        </w:r>
      </w:hyperlink>
      <w:r w:rsidRPr="00AF235F">
        <w:rPr>
          <w:color w:val="000000" w:themeColor="text1"/>
          <w:szCs w:val="24"/>
        </w:rPr>
        <w:t xml:space="preserve">, </w:t>
      </w:r>
      <w:r w:rsidRPr="00AF235F">
        <w:rPr>
          <w:iCs/>
          <w:color w:val="000000" w:themeColor="text1"/>
          <w:szCs w:val="24"/>
        </w:rPr>
        <w:t xml:space="preserve">Nr. </w:t>
      </w:r>
      <w:hyperlink r:id="rId16" w:tgtFrame="_blank" w:history="1">
        <w:r w:rsidRPr="00AF235F">
          <w:rPr>
            <w:iCs/>
            <w:color w:val="000000" w:themeColor="text1"/>
            <w:szCs w:val="24"/>
          </w:rPr>
          <w:t>51-2480</w:t>
        </w:r>
      </w:hyperlink>
      <w:r w:rsidRPr="00AF235F">
        <w:rPr>
          <w:color w:val="000000" w:themeColor="text1"/>
          <w:szCs w:val="24"/>
        </w:rPr>
        <w:t xml:space="preserve">) ir Lietuvos Respublikos administracinių teisės pažeidimų kodekso 5 straipsnio 2 dalimi (Žin., 1985, Nr. 1-1; </w:t>
      </w:r>
      <w:r w:rsidRPr="00AF235F">
        <w:rPr>
          <w:iCs/>
          <w:color w:val="000000" w:themeColor="text1"/>
          <w:szCs w:val="24"/>
        </w:rPr>
        <w:t xml:space="preserve">1992, Nr. </w:t>
      </w:r>
      <w:hyperlink r:id="rId17" w:tgtFrame="_blank" w:history="1">
        <w:r w:rsidRPr="00AF235F">
          <w:rPr>
            <w:iCs/>
            <w:color w:val="000000" w:themeColor="text1"/>
            <w:szCs w:val="24"/>
          </w:rPr>
          <w:t>21-610</w:t>
        </w:r>
      </w:hyperlink>
      <w:r w:rsidRPr="00AF235F">
        <w:rPr>
          <w:iCs/>
          <w:color w:val="000000" w:themeColor="text1"/>
          <w:szCs w:val="24"/>
        </w:rPr>
        <w:t xml:space="preserve">; 1995, Nr. </w:t>
      </w:r>
      <w:hyperlink r:id="rId18" w:tgtFrame="_blank" w:history="1">
        <w:r w:rsidRPr="00AF235F">
          <w:rPr>
            <w:iCs/>
            <w:color w:val="000000" w:themeColor="text1"/>
            <w:szCs w:val="24"/>
          </w:rPr>
          <w:t>55-1356</w:t>
        </w:r>
      </w:hyperlink>
      <w:r w:rsidRPr="00AF235F">
        <w:rPr>
          <w:iCs/>
          <w:color w:val="000000" w:themeColor="text1"/>
          <w:szCs w:val="24"/>
        </w:rPr>
        <w:t xml:space="preserve">; 1998, Nr. </w:t>
      </w:r>
      <w:hyperlink r:id="rId19" w:tgtFrame="_blank" w:history="1">
        <w:r w:rsidRPr="00AF235F">
          <w:rPr>
            <w:iCs/>
            <w:color w:val="000000" w:themeColor="text1"/>
            <w:szCs w:val="24"/>
          </w:rPr>
          <w:t>25-636</w:t>
        </w:r>
      </w:hyperlink>
      <w:r w:rsidRPr="00AF235F">
        <w:rPr>
          <w:iCs/>
          <w:color w:val="000000" w:themeColor="text1"/>
          <w:szCs w:val="24"/>
        </w:rPr>
        <w:t xml:space="preserve">; 2000, Nr. </w:t>
      </w:r>
      <w:hyperlink r:id="rId20" w:tgtFrame="_blank" w:history="1">
        <w:r w:rsidRPr="00AF235F">
          <w:rPr>
            <w:iCs/>
            <w:color w:val="000000" w:themeColor="text1"/>
            <w:szCs w:val="24"/>
          </w:rPr>
          <w:t>22-552</w:t>
        </w:r>
      </w:hyperlink>
      <w:r w:rsidRPr="00AF235F">
        <w:rPr>
          <w:iCs/>
          <w:color w:val="000000" w:themeColor="text1"/>
          <w:szCs w:val="24"/>
        </w:rPr>
        <w:t xml:space="preserve">; 2001, Nr. </w:t>
      </w:r>
      <w:hyperlink r:id="rId21" w:tgtFrame="_blank" w:history="1">
        <w:r w:rsidRPr="00AF235F">
          <w:rPr>
            <w:iCs/>
            <w:color w:val="000000" w:themeColor="text1"/>
            <w:szCs w:val="24"/>
          </w:rPr>
          <w:t>99-3522</w:t>
        </w:r>
      </w:hyperlink>
      <w:r w:rsidRPr="00AF235F">
        <w:rPr>
          <w:iCs/>
          <w:color w:val="000000" w:themeColor="text1"/>
          <w:szCs w:val="24"/>
        </w:rPr>
        <w:t xml:space="preserve">; 2002, Nr. </w:t>
      </w:r>
      <w:hyperlink r:id="rId22" w:tgtFrame="_blank" w:history="1">
        <w:r w:rsidRPr="00AF235F">
          <w:rPr>
            <w:iCs/>
            <w:color w:val="000000" w:themeColor="text1"/>
            <w:szCs w:val="24"/>
          </w:rPr>
          <w:t>124-5623</w:t>
        </w:r>
      </w:hyperlink>
      <w:r w:rsidRPr="00AF235F">
        <w:rPr>
          <w:iCs/>
          <w:color w:val="000000" w:themeColor="text1"/>
          <w:szCs w:val="24"/>
        </w:rPr>
        <w:t xml:space="preserve">; 2004, Nr. </w:t>
      </w:r>
      <w:hyperlink r:id="rId23" w:tgtFrame="_blank" w:history="1">
        <w:r w:rsidRPr="00AF235F">
          <w:rPr>
            <w:iCs/>
            <w:color w:val="000000" w:themeColor="text1"/>
            <w:szCs w:val="24"/>
          </w:rPr>
          <w:t>166-6060</w:t>
        </w:r>
      </w:hyperlink>
      <w:r w:rsidRPr="00AF235F">
        <w:rPr>
          <w:iCs/>
          <w:color w:val="000000" w:themeColor="text1"/>
          <w:szCs w:val="24"/>
        </w:rPr>
        <w:t xml:space="preserve">; 2006, Nr. </w:t>
      </w:r>
      <w:hyperlink r:id="rId24" w:tgtFrame="_blank" w:history="1">
        <w:r w:rsidRPr="00AF235F">
          <w:rPr>
            <w:iCs/>
            <w:color w:val="000000" w:themeColor="text1"/>
            <w:szCs w:val="24"/>
          </w:rPr>
          <w:t>73-2759</w:t>
        </w:r>
      </w:hyperlink>
      <w:r w:rsidRPr="00AF235F">
        <w:rPr>
          <w:iCs/>
          <w:color w:val="000000" w:themeColor="text1"/>
          <w:szCs w:val="24"/>
        </w:rPr>
        <w:t xml:space="preserve">; 2007, Nr. </w:t>
      </w:r>
      <w:hyperlink r:id="rId25" w:tgtFrame="_blank" w:history="1">
        <w:r w:rsidRPr="00AF235F">
          <w:rPr>
            <w:iCs/>
            <w:color w:val="000000" w:themeColor="text1"/>
            <w:szCs w:val="24"/>
          </w:rPr>
          <w:t>81-3316</w:t>
        </w:r>
      </w:hyperlink>
      <w:r w:rsidRPr="00AF235F">
        <w:rPr>
          <w:iCs/>
          <w:color w:val="000000" w:themeColor="text1"/>
          <w:szCs w:val="24"/>
        </w:rPr>
        <w:t xml:space="preserve">; 2010, Nr. </w:t>
      </w:r>
      <w:hyperlink r:id="rId26" w:tgtFrame="_blank" w:history="1">
        <w:r w:rsidRPr="00AF235F">
          <w:rPr>
            <w:iCs/>
            <w:color w:val="000000" w:themeColor="text1"/>
            <w:szCs w:val="24"/>
          </w:rPr>
          <w:t>157-7968</w:t>
        </w:r>
      </w:hyperlink>
      <w:r w:rsidRPr="00AF235F">
        <w:rPr>
          <w:iCs/>
          <w:color w:val="000000" w:themeColor="text1"/>
          <w:szCs w:val="24"/>
        </w:rPr>
        <w:t xml:space="preserve">), </w:t>
      </w:r>
      <w:r w:rsidRPr="00AF235F">
        <w:rPr>
          <w:color w:val="000000" w:themeColor="text1"/>
          <w:szCs w:val="24"/>
        </w:rPr>
        <w:t>Vilniaus miesto savivaldybės taryba n u s p r e n d ž i a:</w:t>
      </w:r>
    </w:p>
    <w:p w14:paraId="71F89808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Pakeisti Vilniau</w:t>
      </w:r>
      <w:r>
        <w:rPr>
          <w:szCs w:val="24"/>
        </w:rPr>
        <w:t xml:space="preserve">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Cs w:val="24"/>
          </w:rPr>
          <w:t>2011 m</w:t>
        </w:r>
      </w:smartTag>
      <w:r>
        <w:rPr>
          <w:szCs w:val="24"/>
        </w:rPr>
        <w:t>. lapkričio 23 d. sprendimu Nr. 1-326 patvirtintas Tvarkymo ir švaros taisykles:</w:t>
      </w:r>
    </w:p>
    <w:p w14:paraId="71F89809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Išdėstyti 13 punktą taip:</w:t>
      </w:r>
    </w:p>
    <w:p w14:paraId="71F8980A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13</w:t>
      </w:r>
      <w:r>
        <w:rPr>
          <w:szCs w:val="24"/>
        </w:rPr>
        <w:t>. Prekybos, paslaugų ir viešojo maitinimo (kavinių, restoranų, barų, klubų, greitojo maisto paviljonų</w:t>
      </w:r>
      <w:r>
        <w:rPr>
          <w:szCs w:val="24"/>
        </w:rPr>
        <w:t xml:space="preserve">) įmonių vadovai ir asmenys, vykdantys veiklą pagal verslo liudijimus, privalo užtikrinti, kad jų įstaigos prieigose būtų tvarkinga ir švaru, o nuo pagrindinių durų ne toliau kaip </w:t>
      </w:r>
      <w:smartTag w:uri="urn:schemas-microsoft-com:office:smarttags" w:element="metricconverter">
        <w:smartTagPr>
          <w:attr w:name="ProductID" w:val="3 metrai"/>
        </w:smartTagPr>
        <w:r>
          <w:rPr>
            <w:szCs w:val="24"/>
          </w:rPr>
          <w:t>3 metrai</w:t>
        </w:r>
      </w:smartTag>
      <w:r>
        <w:rPr>
          <w:szCs w:val="24"/>
        </w:rPr>
        <w:t xml:space="preserve"> būtų įrengta, valoma ir prižiūrima šiukšlių dėžė su pelenine.“.</w:t>
      </w:r>
    </w:p>
    <w:p w14:paraId="71F8980B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Išdėstyti 33 punktą taip:</w:t>
      </w:r>
    </w:p>
    <w:p w14:paraId="71F8980C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33</w:t>
      </w:r>
      <w:r>
        <w:rPr>
          <w:szCs w:val="24"/>
        </w:rPr>
        <w:t>. Leidus organizuoti renginį, organizatoriai privalo:</w:t>
      </w:r>
    </w:p>
    <w:p w14:paraId="71F8980D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</w:t>
      </w:r>
      <w:r>
        <w:rPr>
          <w:szCs w:val="24"/>
        </w:rPr>
        <w:t>. sudaryti sutartį dėl šiukšlių dėžių pastatymo ir renginio teritorijos sutvarkymo arba kitaip užtikrinti jos sutvarkymą renginiui pasibaigus. Sutartis dėl r</w:t>
      </w:r>
      <w:r>
        <w:rPr>
          <w:szCs w:val="24"/>
        </w:rPr>
        <w:t>enginio teritorijos sutvarkymo privaloma, kai renginio metu vykdoma prekyba, o jei renginys trunka ilgiau kaip 4 valandas, renginio organizatoriai privalo užtikrinti, kad renginio metu būtų renkamos šiukšlės;</w:t>
      </w:r>
    </w:p>
    <w:p w14:paraId="71F8980E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33.2</w:t>
      </w:r>
      <w:r>
        <w:rPr>
          <w:szCs w:val="24"/>
        </w:rPr>
        <w:t>. pastatyti biotualetus, jei renginys t</w:t>
      </w:r>
      <w:r>
        <w:rPr>
          <w:szCs w:val="24"/>
        </w:rPr>
        <w:t>runka ilgiau kaip 2 valandas. Biotualetų skaičius nustatomas pagal Taisyklių priedą;</w:t>
      </w:r>
    </w:p>
    <w:p w14:paraId="71F8980F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33.3</w:t>
      </w:r>
      <w:r>
        <w:rPr>
          <w:szCs w:val="24"/>
        </w:rPr>
        <w:t>. užtikrinti greitosios medicinos pagalbos darbuotojų budėjimą renginio metu, jei yra tikimybė, kad renginio metu gali kilti grėsmė asmenų sveikatai. Sporto rengin</w:t>
      </w:r>
      <w:r>
        <w:rPr>
          <w:szCs w:val="24"/>
        </w:rPr>
        <w:t xml:space="preserve">iuose visada privalo budėti greitosios medicinos pagalbos brigada. Medicinos pagalbos darbuotojų skaičių ir sudėtį nustato atsakingi medicinos įstaigos darbuotojai, atsižvelgdami į numatomą renginyje dalyvausiančių asmenų skaičių, renginio trukmę ir kitas </w:t>
      </w:r>
      <w:r>
        <w:rPr>
          <w:szCs w:val="24"/>
        </w:rPr>
        <w:t>aplinkybes;</w:t>
      </w:r>
    </w:p>
    <w:p w14:paraId="71F89810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33.4</w:t>
      </w:r>
      <w:r>
        <w:rPr>
          <w:szCs w:val="24"/>
        </w:rPr>
        <w:t>. užtikrinti priešgaisrinės gelbėjimo tarnybos darbuotojų budėjimą renginio metu, jei yra tikimybė, kad renginio metu gali kilti ekstremalių situacijų;</w:t>
      </w:r>
    </w:p>
    <w:p w14:paraId="71F89811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33.5</w:t>
      </w:r>
      <w:r>
        <w:rPr>
          <w:szCs w:val="24"/>
        </w:rPr>
        <w:t>. sudaryti su policija sutartį dėl saugaus eismo ir viešosios tvarkos užtikr</w:t>
      </w:r>
      <w:r>
        <w:rPr>
          <w:szCs w:val="24"/>
        </w:rPr>
        <w:t>inimo, jei kitaip negalima užtikrinti saugumo;</w:t>
      </w:r>
    </w:p>
    <w:p w14:paraId="71F89812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33.6</w:t>
      </w:r>
      <w:r>
        <w:rPr>
          <w:szCs w:val="24"/>
        </w:rPr>
        <w:t xml:space="preserve">. užtikrinti, kad būtų pastatyti laikini kelio ženklai, jei renginio metu būtina apriboti ar uždrausti transporto eismą. Laikini kelio ženklai turi būti pastatyti pagal parengtą ir suderintą su </w:t>
      </w:r>
      <w:r>
        <w:rPr>
          <w:szCs w:val="24"/>
        </w:rPr>
        <w:t>Savivaldybės administracijos Miesto ūkio ir transporto departamento Eismo organizavimo skyriumi ir Vilniaus apskrities vyriausiojo policijos komisariato Kelių policijos valdyba schemą;</w:t>
      </w:r>
    </w:p>
    <w:p w14:paraId="71F89813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33.7</w:t>
      </w:r>
      <w:r>
        <w:rPr>
          <w:szCs w:val="24"/>
        </w:rPr>
        <w:t xml:space="preserve">. užtikrinti, kad į renginio teritoriją nebūtų galima įsinešti </w:t>
      </w:r>
      <w:r>
        <w:rPr>
          <w:szCs w:val="24"/>
        </w:rPr>
        <w:t>ginklų, kitų daiktų, kuriais galima sužaloti žmogų ar sukelti grėsmę kitiems asmenims;</w:t>
      </w:r>
    </w:p>
    <w:p w14:paraId="71F89814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33.8</w:t>
      </w:r>
      <w:r>
        <w:rPr>
          <w:szCs w:val="24"/>
        </w:rPr>
        <w:t>. renginio dalyvius bei žiūrovus apdrausti nuo nelaimingų atsitikimų, jei yra tikimybė, kad renginio metu gali kilti grėsmė asmenų sveikatai ir gyvybei;</w:t>
      </w:r>
    </w:p>
    <w:p w14:paraId="71F89815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33.9</w:t>
      </w:r>
      <w:r>
        <w:rPr>
          <w:szCs w:val="24"/>
        </w:rPr>
        <w:t>. prireikus sudaryti su saugos tarnyba sutartį dėl turto apsaugos ir (ar) viešosios tvarkos palaikymo. Teritorijos apsaugos organizavimo planas turi būti suderintas su policija. Saugumą užtikrinantys darbuotojai privalo:</w:t>
      </w:r>
    </w:p>
    <w:p w14:paraId="71F89816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33.9.1</w:t>
      </w:r>
      <w:r>
        <w:rPr>
          <w:szCs w:val="24"/>
        </w:rPr>
        <w:t>. pasirūpinti teritorijos a</w:t>
      </w:r>
      <w:r>
        <w:rPr>
          <w:szCs w:val="24"/>
        </w:rPr>
        <w:t>psauga;</w:t>
      </w:r>
    </w:p>
    <w:p w14:paraId="71F89817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33.9.2</w:t>
      </w:r>
      <w:r>
        <w:rPr>
          <w:szCs w:val="24"/>
        </w:rPr>
        <w:t>. garantuoti renginio teritorijoje esančių objektų apsaugą;</w:t>
      </w:r>
    </w:p>
    <w:p w14:paraId="71F89818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33.10</w:t>
      </w:r>
      <w:r>
        <w:rPr>
          <w:szCs w:val="24"/>
        </w:rPr>
        <w:t>. suteikti visokeriopą pagalbą policijos pareigūnams, renginyje užtikrinantiems viešąją tvarką;</w:t>
      </w:r>
    </w:p>
    <w:p w14:paraId="71F89819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33.11</w:t>
      </w:r>
      <w:r>
        <w:rPr>
          <w:szCs w:val="24"/>
        </w:rPr>
        <w:t>. aptverti renginio teritoriją, jei aptverti įmanoma pagal ren</w:t>
      </w:r>
      <w:r>
        <w:rPr>
          <w:szCs w:val="24"/>
        </w:rPr>
        <w:t>ginio pobūdį ir vietą. Aptverti reikia taip, kad nebūtų trukdoma renginyje nedalyvaujantiems asmenims naudotis viešomis vietomis, esančiomis šalia renginio teritorijos. Komisija gali leisti teritorijos neaptverti;</w:t>
      </w:r>
    </w:p>
    <w:p w14:paraId="71F8981A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33.12</w:t>
      </w:r>
      <w:r>
        <w:rPr>
          <w:szCs w:val="24"/>
        </w:rPr>
        <w:t>. užtikrinti, kad į renginio teri</w:t>
      </w:r>
      <w:r>
        <w:rPr>
          <w:szCs w:val="24"/>
        </w:rPr>
        <w:t>toriją nebūtų įsinešami alkoholiniai ar kiti gėrimai, narkotikai ar kitos psichotropinės medžiagos;</w:t>
      </w:r>
    </w:p>
    <w:p w14:paraId="71F8981B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33.13</w:t>
      </w:r>
      <w:r>
        <w:rPr>
          <w:szCs w:val="24"/>
        </w:rPr>
        <w:t>. pasirūpinti, kad į renginio teritoriją nebūtų įleidžiami neblaivūs ar nuo psichotropinių medžiagų apsvaigę asmenys;</w:t>
      </w:r>
    </w:p>
    <w:p w14:paraId="71F8981C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33.14</w:t>
      </w:r>
      <w:r>
        <w:rPr>
          <w:szCs w:val="24"/>
        </w:rPr>
        <w:t>. gerai apšviesti re</w:t>
      </w:r>
      <w:r>
        <w:rPr>
          <w:szCs w:val="24"/>
        </w:rPr>
        <w:t>nginio teritoriją ir jos prieigas, jei renginys vyks tamsiuoju paros metu;</w:t>
      </w:r>
    </w:p>
    <w:p w14:paraId="71F8981D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33.15</w:t>
      </w:r>
      <w:r>
        <w:rPr>
          <w:szCs w:val="24"/>
        </w:rPr>
        <w:t>. parengti civilinių pirotechnikos priemonių naudojimo vietų schemą ir ją suderinti su priešgaisrinės gelbėjimo tarnybos bei Savivaldybės administracijos atsakingais darbuo</w:t>
      </w:r>
      <w:r>
        <w:rPr>
          <w:szCs w:val="24"/>
        </w:rPr>
        <w:t>tojais, jeigu renginio metu bus naudojamos IV kategorijos civilinės pirotechnikos priemonės (fejerverkai). Renginiuose civilinių pirotechnikos priemonių naudojimo vietos turi būti aptvertos (ar kitaip užtikrinta), kad prie jų nepatektų pašaliniai asmenys;</w:t>
      </w:r>
    </w:p>
    <w:p w14:paraId="71F8981E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33.16</w:t>
      </w:r>
      <w:r>
        <w:rPr>
          <w:szCs w:val="24"/>
        </w:rPr>
        <w:t>. užtikrinti, kad renginio metu nebūtų trikdoma viešoji rimtis, asmenų ramybė, poilsis ar darbas;</w:t>
      </w:r>
    </w:p>
    <w:p w14:paraId="71F8981F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33.17</w:t>
      </w:r>
      <w:r>
        <w:rPr>
          <w:szCs w:val="24"/>
        </w:rPr>
        <w:t>. sumokėti vietinės rinkliavos mokestį, jei organizuojamas renginys yra komercinis. Vietinės rinkliavos mokestis nustatomas pagal Savivaldyb</w:t>
      </w:r>
      <w:r>
        <w:rPr>
          <w:szCs w:val="24"/>
        </w:rPr>
        <w:t>ės tarybos sprendimu patvirtintus Vietinės rinkliavos už leidimo organizuoti komercinius renginius Savivaldybei priklausančiose ar valdytojo teise valdomose viešojo naudojimo teritorijose išdavimą nuostatus;</w:t>
      </w:r>
    </w:p>
    <w:p w14:paraId="71F89820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33.18</w:t>
      </w:r>
      <w:r>
        <w:rPr>
          <w:szCs w:val="24"/>
        </w:rPr>
        <w:t>. sudaryti sąlygas neįgaliųjų asmenų va</w:t>
      </w:r>
      <w:r>
        <w:rPr>
          <w:szCs w:val="24"/>
        </w:rPr>
        <w:t>iruojamas ar neįgaliuosius asmenis atvežančias transporto priemones statyti arčiau renginio vietos;</w:t>
      </w:r>
    </w:p>
    <w:p w14:paraId="71F89821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33.19</w:t>
      </w:r>
      <w:r>
        <w:rPr>
          <w:szCs w:val="24"/>
        </w:rPr>
        <w:t>. pasirūpinti, kad valstybinių ir minėjimų renginių oficialiųjų dalių kalbos būtų verčiamos į gestų kalbą;</w:t>
      </w:r>
    </w:p>
    <w:p w14:paraId="71F89822" w14:textId="77777777" w:rsidR="00EA2B95" w:rsidRDefault="00AF235F">
      <w:pPr>
        <w:ind w:firstLine="720"/>
        <w:jc w:val="both"/>
        <w:rPr>
          <w:szCs w:val="24"/>
        </w:rPr>
      </w:pPr>
      <w:r>
        <w:rPr>
          <w:szCs w:val="24"/>
        </w:rPr>
        <w:t>33.20</w:t>
      </w:r>
      <w:r>
        <w:rPr>
          <w:szCs w:val="24"/>
        </w:rPr>
        <w:t>. laikytis kitų komisijos, Savi</w:t>
      </w:r>
      <w:r>
        <w:rPr>
          <w:szCs w:val="24"/>
        </w:rPr>
        <w:t>valdybės administracijos direktoriaus įsakyme ar pažymėjime nustatytų reikalavimų.“.</w:t>
      </w:r>
    </w:p>
    <w:p w14:paraId="71F89825" w14:textId="641BA0BC" w:rsidR="00EA2B95" w:rsidRPr="00AF235F" w:rsidRDefault="00AF235F" w:rsidP="00AF235F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>. Išdėstyti Tvarkymo ir švaros taisyklių priedą nauja redakcija (pridedama).</w:t>
      </w:r>
    </w:p>
    <w:p w14:paraId="72AD0B28" w14:textId="77777777" w:rsidR="00AF235F" w:rsidRDefault="00AF235F" w:rsidP="00AF235F">
      <w:pPr>
        <w:tabs>
          <w:tab w:val="right" w:pos="1710"/>
          <w:tab w:val="left" w:pos="7655"/>
        </w:tabs>
      </w:pPr>
    </w:p>
    <w:p w14:paraId="40E2BC83" w14:textId="77777777" w:rsidR="00AF235F" w:rsidRDefault="00AF235F" w:rsidP="00AF235F">
      <w:pPr>
        <w:tabs>
          <w:tab w:val="right" w:pos="1710"/>
          <w:tab w:val="left" w:pos="7655"/>
        </w:tabs>
      </w:pPr>
    </w:p>
    <w:p w14:paraId="5566C794" w14:textId="77777777" w:rsidR="00AF235F" w:rsidRDefault="00AF235F" w:rsidP="00AF235F">
      <w:pPr>
        <w:tabs>
          <w:tab w:val="right" w:pos="1710"/>
          <w:tab w:val="left" w:pos="7655"/>
        </w:tabs>
      </w:pPr>
    </w:p>
    <w:p w14:paraId="71F89827" w14:textId="7391F14B" w:rsidR="00EA2B95" w:rsidRDefault="00AF235F" w:rsidP="00AF235F">
      <w:pPr>
        <w:tabs>
          <w:tab w:val="right" w:pos="1710"/>
          <w:tab w:val="left" w:pos="7655"/>
        </w:tabs>
        <w:rPr>
          <w:szCs w:val="24"/>
        </w:rPr>
      </w:pPr>
      <w:r>
        <w:rPr>
          <w:szCs w:val="24"/>
        </w:rPr>
        <w:t>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Artūras Zuokas</w:t>
      </w:r>
    </w:p>
    <w:p w14:paraId="0F89081A" w14:textId="77777777" w:rsidR="00AF235F" w:rsidRDefault="00AF235F">
      <w:pPr>
        <w:ind w:firstLine="3960"/>
        <w:jc w:val="both"/>
      </w:pPr>
      <w:r>
        <w:br w:type="page"/>
      </w:r>
    </w:p>
    <w:p w14:paraId="71F89828" w14:textId="7D53B664" w:rsidR="00EA2B95" w:rsidRDefault="00AF235F">
      <w:pPr>
        <w:ind w:firstLine="3960"/>
        <w:jc w:val="both"/>
        <w:rPr>
          <w:szCs w:val="24"/>
        </w:rPr>
      </w:pPr>
      <w:r>
        <w:rPr>
          <w:szCs w:val="24"/>
        </w:rPr>
        <w:lastRenderedPageBreak/>
        <w:t>Vilniaus miesto savivaldybės tarybos</w:t>
      </w:r>
    </w:p>
    <w:p w14:paraId="71F89829" w14:textId="77777777" w:rsidR="00EA2B95" w:rsidRDefault="00AF235F">
      <w:pPr>
        <w:ind w:firstLine="3960"/>
        <w:rPr>
          <w:szCs w:val="24"/>
        </w:rPr>
      </w:pPr>
      <w:smartTag w:uri="urn:schemas-microsoft-com:office:smarttags" w:element="metricconverter">
        <w:smartTagPr>
          <w:attr w:name="ProductID" w:val="2011 m"/>
        </w:smartTagPr>
        <w:r>
          <w:rPr>
            <w:szCs w:val="24"/>
          </w:rPr>
          <w:t>2011 m</w:t>
        </w:r>
      </w:smartTag>
      <w:r>
        <w:rPr>
          <w:szCs w:val="24"/>
        </w:rPr>
        <w:t>.</w:t>
      </w:r>
      <w:r>
        <w:rPr>
          <w:szCs w:val="24"/>
        </w:rPr>
        <w:t xml:space="preserve"> lapkričio 23 d. sprendimu Nr. 1-326 patvirtintų</w:t>
      </w:r>
    </w:p>
    <w:p w14:paraId="71F8982A" w14:textId="77777777" w:rsidR="00EA2B95" w:rsidRDefault="00AF235F">
      <w:pPr>
        <w:ind w:firstLine="3960"/>
        <w:rPr>
          <w:szCs w:val="24"/>
        </w:rPr>
      </w:pPr>
      <w:r>
        <w:rPr>
          <w:szCs w:val="24"/>
        </w:rPr>
        <w:t>Tvarkymo ir švaros taisyklių priedas</w:t>
      </w:r>
    </w:p>
    <w:p w14:paraId="71F8982B" w14:textId="77777777" w:rsidR="00EA2B95" w:rsidRDefault="00AF235F">
      <w:pPr>
        <w:ind w:firstLine="3960"/>
        <w:jc w:val="both"/>
        <w:rPr>
          <w:szCs w:val="24"/>
        </w:rPr>
      </w:pPr>
      <w:r>
        <w:rPr>
          <w:szCs w:val="24"/>
        </w:rPr>
        <w:t>(Vilniaus miesto savivaldybės tarybos</w:t>
      </w:r>
    </w:p>
    <w:p w14:paraId="71F8982C" w14:textId="77777777" w:rsidR="00EA2B95" w:rsidRDefault="00AF235F">
      <w:pPr>
        <w:ind w:firstLine="3960"/>
        <w:rPr>
          <w:szCs w:val="24"/>
        </w:rPr>
      </w:pP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>. birželio 20 d. sprendimu Nr. 1-670 patvirtintų</w:t>
      </w:r>
    </w:p>
    <w:p w14:paraId="71F8982D" w14:textId="77777777" w:rsidR="00EA2B95" w:rsidRDefault="00AF235F">
      <w:pPr>
        <w:ind w:firstLine="3960"/>
        <w:rPr>
          <w:sz w:val="14"/>
          <w:szCs w:val="14"/>
        </w:rPr>
      </w:pPr>
      <w:r>
        <w:rPr>
          <w:szCs w:val="24"/>
        </w:rPr>
        <w:t>Tvarkymo ir švaros taisyklių priedo redakcija)</w:t>
      </w:r>
    </w:p>
    <w:p w14:paraId="71F8982E" w14:textId="77777777" w:rsidR="00EA2B95" w:rsidRDefault="00EA2B95">
      <w:pPr>
        <w:ind w:firstLine="720"/>
        <w:jc w:val="center"/>
        <w:rPr>
          <w:bCs/>
          <w:szCs w:val="24"/>
        </w:rPr>
      </w:pPr>
    </w:p>
    <w:p w14:paraId="71F8982F" w14:textId="77777777" w:rsidR="00EA2B95" w:rsidRDefault="00AF235F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nustatytas BIOTUALETŲ </w:t>
      </w:r>
      <w:r>
        <w:rPr>
          <w:b/>
          <w:caps/>
          <w:szCs w:val="24"/>
        </w:rPr>
        <w:t>SKAIČIUS</w:t>
      </w:r>
    </w:p>
    <w:p w14:paraId="71F89830" w14:textId="77777777" w:rsidR="00EA2B95" w:rsidRDefault="00EA2B95">
      <w:pPr>
        <w:ind w:firstLine="720"/>
        <w:jc w:val="center"/>
        <w:rPr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472"/>
      </w:tblGrid>
      <w:tr w:rsidR="00EA2B95" w14:paraId="71F89834" w14:textId="77777777">
        <w:tc>
          <w:tcPr>
            <w:tcW w:w="3420" w:type="dxa"/>
          </w:tcPr>
          <w:p w14:paraId="71F89831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Numatomas renginyje dalyvausiančių asmenų skaičius</w:t>
            </w:r>
          </w:p>
        </w:tc>
        <w:tc>
          <w:tcPr>
            <w:tcW w:w="5472" w:type="dxa"/>
          </w:tcPr>
          <w:p w14:paraId="71F89832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Biotualetų skaičius</w:t>
            </w:r>
          </w:p>
          <w:p w14:paraId="71F89833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(ne mažiau kaip)</w:t>
            </w:r>
          </w:p>
        </w:tc>
      </w:tr>
      <w:tr w:rsidR="00EA2B95" w14:paraId="71F89837" w14:textId="77777777">
        <w:tc>
          <w:tcPr>
            <w:tcW w:w="3420" w:type="dxa"/>
          </w:tcPr>
          <w:p w14:paraId="71F89835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5472" w:type="dxa"/>
          </w:tcPr>
          <w:p w14:paraId="71F89836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2 (iš jų vienas pritaikytas neįgaliesiems asmenims)</w:t>
            </w:r>
          </w:p>
        </w:tc>
      </w:tr>
      <w:tr w:rsidR="00EA2B95" w14:paraId="71F8983A" w14:textId="77777777">
        <w:tc>
          <w:tcPr>
            <w:tcW w:w="3420" w:type="dxa"/>
          </w:tcPr>
          <w:p w14:paraId="71F89838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5472" w:type="dxa"/>
          </w:tcPr>
          <w:p w14:paraId="71F89839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4 (iš jų vienas pritaikytas neįgaliesiems asmenims)</w:t>
            </w:r>
          </w:p>
        </w:tc>
      </w:tr>
      <w:tr w:rsidR="00EA2B95" w14:paraId="71F8983D" w14:textId="77777777">
        <w:tc>
          <w:tcPr>
            <w:tcW w:w="3420" w:type="dxa"/>
          </w:tcPr>
          <w:p w14:paraId="71F8983B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5472" w:type="dxa"/>
          </w:tcPr>
          <w:p w14:paraId="71F8983C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5 (iš jų vienas pritaikytas neįgali</w:t>
            </w:r>
            <w:r>
              <w:rPr>
                <w:szCs w:val="24"/>
              </w:rPr>
              <w:t>esiems asmenims)</w:t>
            </w:r>
          </w:p>
        </w:tc>
      </w:tr>
      <w:tr w:rsidR="00EA2B95" w14:paraId="71F89840" w14:textId="77777777">
        <w:tc>
          <w:tcPr>
            <w:tcW w:w="3420" w:type="dxa"/>
          </w:tcPr>
          <w:p w14:paraId="71F8983E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5472" w:type="dxa"/>
          </w:tcPr>
          <w:p w14:paraId="71F8983F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6 (iš jų vienas pritaikytas neįgaliesiems asmenims)</w:t>
            </w:r>
          </w:p>
        </w:tc>
      </w:tr>
      <w:tr w:rsidR="00EA2B95" w14:paraId="71F89843" w14:textId="77777777">
        <w:tc>
          <w:tcPr>
            <w:tcW w:w="3420" w:type="dxa"/>
          </w:tcPr>
          <w:p w14:paraId="71F89841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  <w:tc>
          <w:tcPr>
            <w:tcW w:w="5472" w:type="dxa"/>
          </w:tcPr>
          <w:p w14:paraId="71F89842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8 (iš jų vienas pritaikytas neįgaliesiems asmenims)</w:t>
            </w:r>
          </w:p>
        </w:tc>
      </w:tr>
      <w:tr w:rsidR="00EA2B95" w14:paraId="71F89846" w14:textId="77777777">
        <w:tc>
          <w:tcPr>
            <w:tcW w:w="3420" w:type="dxa"/>
          </w:tcPr>
          <w:p w14:paraId="71F89844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5472" w:type="dxa"/>
          </w:tcPr>
          <w:p w14:paraId="71F89845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12 (iš jų du pritaikyti neįgaliesiems asmenims)</w:t>
            </w:r>
          </w:p>
        </w:tc>
      </w:tr>
      <w:tr w:rsidR="00EA2B95" w14:paraId="71F89849" w14:textId="77777777">
        <w:tc>
          <w:tcPr>
            <w:tcW w:w="3420" w:type="dxa"/>
          </w:tcPr>
          <w:p w14:paraId="71F89847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5472" w:type="dxa"/>
          </w:tcPr>
          <w:p w14:paraId="71F89848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15 (iš jų du pritaikyti neįgaliesiems asmenims)</w:t>
            </w:r>
          </w:p>
        </w:tc>
      </w:tr>
      <w:tr w:rsidR="00EA2B95" w14:paraId="71F8984C" w14:textId="77777777">
        <w:tc>
          <w:tcPr>
            <w:tcW w:w="3420" w:type="dxa"/>
          </w:tcPr>
          <w:p w14:paraId="71F8984A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5472" w:type="dxa"/>
          </w:tcPr>
          <w:p w14:paraId="71F8984B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 xml:space="preserve">20 (iš </w:t>
            </w:r>
            <w:r>
              <w:rPr>
                <w:szCs w:val="24"/>
              </w:rPr>
              <w:t>jų du pritaikyti neįgaliesiems asmenims)</w:t>
            </w:r>
          </w:p>
        </w:tc>
      </w:tr>
      <w:tr w:rsidR="00EA2B95" w14:paraId="71F8984F" w14:textId="77777777">
        <w:tc>
          <w:tcPr>
            <w:tcW w:w="3420" w:type="dxa"/>
          </w:tcPr>
          <w:p w14:paraId="71F8984D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  <w:tc>
          <w:tcPr>
            <w:tcW w:w="5472" w:type="dxa"/>
          </w:tcPr>
          <w:p w14:paraId="71F8984E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25 (iš jų du pritaikyti neįgaliesiems asmenims)</w:t>
            </w:r>
          </w:p>
        </w:tc>
      </w:tr>
      <w:tr w:rsidR="00EA2B95" w14:paraId="71F89852" w14:textId="77777777">
        <w:tc>
          <w:tcPr>
            <w:tcW w:w="3420" w:type="dxa"/>
          </w:tcPr>
          <w:p w14:paraId="71F89850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  <w:tc>
          <w:tcPr>
            <w:tcW w:w="5472" w:type="dxa"/>
          </w:tcPr>
          <w:p w14:paraId="71F89851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35 (iš jų du pritaikyti neįgaliesiems asmenims)</w:t>
            </w:r>
          </w:p>
        </w:tc>
      </w:tr>
      <w:tr w:rsidR="00EA2B95" w14:paraId="71F89855" w14:textId="77777777">
        <w:tc>
          <w:tcPr>
            <w:tcW w:w="3420" w:type="dxa"/>
          </w:tcPr>
          <w:p w14:paraId="71F89853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</w:t>
            </w:r>
          </w:p>
        </w:tc>
        <w:tc>
          <w:tcPr>
            <w:tcW w:w="5472" w:type="dxa"/>
          </w:tcPr>
          <w:p w14:paraId="71F89854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40 (iš jų trys pritaikyti neįgaliesiems asmenims)</w:t>
            </w:r>
          </w:p>
        </w:tc>
      </w:tr>
      <w:tr w:rsidR="00EA2B95" w14:paraId="71F89858" w14:textId="77777777">
        <w:tc>
          <w:tcPr>
            <w:tcW w:w="3420" w:type="dxa"/>
          </w:tcPr>
          <w:p w14:paraId="71F89856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35000</w:t>
            </w:r>
          </w:p>
        </w:tc>
        <w:tc>
          <w:tcPr>
            <w:tcW w:w="5472" w:type="dxa"/>
          </w:tcPr>
          <w:p w14:paraId="71F89857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 xml:space="preserve">50 (iš jų trys pritaikyti neįgaliesiems </w:t>
            </w:r>
            <w:r>
              <w:rPr>
                <w:szCs w:val="24"/>
              </w:rPr>
              <w:t>asmenims)</w:t>
            </w:r>
          </w:p>
        </w:tc>
      </w:tr>
      <w:tr w:rsidR="00EA2B95" w14:paraId="71F8985B" w14:textId="77777777">
        <w:tc>
          <w:tcPr>
            <w:tcW w:w="3420" w:type="dxa"/>
          </w:tcPr>
          <w:p w14:paraId="71F89859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</w:t>
            </w:r>
          </w:p>
        </w:tc>
        <w:tc>
          <w:tcPr>
            <w:tcW w:w="5472" w:type="dxa"/>
          </w:tcPr>
          <w:p w14:paraId="71F8985A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60 (iš jų trys pritaikyti neįgaliesiems asmenims)</w:t>
            </w:r>
          </w:p>
        </w:tc>
      </w:tr>
      <w:tr w:rsidR="00EA2B95" w14:paraId="71F8985E" w14:textId="77777777">
        <w:tc>
          <w:tcPr>
            <w:tcW w:w="3420" w:type="dxa"/>
          </w:tcPr>
          <w:p w14:paraId="71F8985C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45000</w:t>
            </w:r>
          </w:p>
        </w:tc>
        <w:tc>
          <w:tcPr>
            <w:tcW w:w="5472" w:type="dxa"/>
          </w:tcPr>
          <w:p w14:paraId="71F8985D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65 (iš jų trys pritaikyti neįgaliesiems asmenims)</w:t>
            </w:r>
          </w:p>
        </w:tc>
      </w:tr>
      <w:tr w:rsidR="00EA2B95" w14:paraId="71F89861" w14:textId="77777777">
        <w:tc>
          <w:tcPr>
            <w:tcW w:w="3420" w:type="dxa"/>
          </w:tcPr>
          <w:p w14:paraId="71F8985F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50000</w:t>
            </w:r>
          </w:p>
        </w:tc>
        <w:tc>
          <w:tcPr>
            <w:tcW w:w="5472" w:type="dxa"/>
          </w:tcPr>
          <w:p w14:paraId="71F89860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70 (iš jų trys pritaikyti neįgaliesiems asmenims)</w:t>
            </w:r>
          </w:p>
        </w:tc>
      </w:tr>
      <w:tr w:rsidR="00EA2B95" w14:paraId="71F89864" w14:textId="77777777">
        <w:tc>
          <w:tcPr>
            <w:tcW w:w="3420" w:type="dxa"/>
          </w:tcPr>
          <w:p w14:paraId="71F89862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55000</w:t>
            </w:r>
          </w:p>
        </w:tc>
        <w:tc>
          <w:tcPr>
            <w:tcW w:w="5472" w:type="dxa"/>
          </w:tcPr>
          <w:p w14:paraId="71F89863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75 (iš jų trys pritaikyti neįgaliesiems asmenims)</w:t>
            </w:r>
          </w:p>
        </w:tc>
      </w:tr>
      <w:tr w:rsidR="00EA2B95" w14:paraId="71F89867" w14:textId="77777777">
        <w:tc>
          <w:tcPr>
            <w:tcW w:w="3420" w:type="dxa"/>
          </w:tcPr>
          <w:p w14:paraId="71F89865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60000</w:t>
            </w:r>
          </w:p>
        </w:tc>
        <w:tc>
          <w:tcPr>
            <w:tcW w:w="5472" w:type="dxa"/>
          </w:tcPr>
          <w:p w14:paraId="71F89866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 xml:space="preserve">80 (iš jų </w:t>
            </w:r>
            <w:r>
              <w:rPr>
                <w:szCs w:val="24"/>
              </w:rPr>
              <w:t>keturi pritaikyti neįgaliesiems asmenims)</w:t>
            </w:r>
          </w:p>
        </w:tc>
      </w:tr>
      <w:tr w:rsidR="00EA2B95" w14:paraId="71F8986A" w14:textId="77777777">
        <w:tc>
          <w:tcPr>
            <w:tcW w:w="3420" w:type="dxa"/>
          </w:tcPr>
          <w:p w14:paraId="71F89868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65000</w:t>
            </w:r>
          </w:p>
        </w:tc>
        <w:tc>
          <w:tcPr>
            <w:tcW w:w="5472" w:type="dxa"/>
          </w:tcPr>
          <w:p w14:paraId="71F89869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85 (iš jų keturi pritaikyti neįgaliesiems asmenims)</w:t>
            </w:r>
          </w:p>
        </w:tc>
      </w:tr>
      <w:tr w:rsidR="00EA2B95" w14:paraId="71F8986D" w14:textId="77777777">
        <w:tc>
          <w:tcPr>
            <w:tcW w:w="3420" w:type="dxa"/>
          </w:tcPr>
          <w:p w14:paraId="71F8986B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70000</w:t>
            </w:r>
          </w:p>
        </w:tc>
        <w:tc>
          <w:tcPr>
            <w:tcW w:w="5472" w:type="dxa"/>
          </w:tcPr>
          <w:p w14:paraId="71F8986C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90 (iš jų keturi pritaikyti neįgaliesiems asmenims)</w:t>
            </w:r>
          </w:p>
        </w:tc>
      </w:tr>
      <w:tr w:rsidR="00EA2B95" w14:paraId="71F89870" w14:textId="77777777">
        <w:tc>
          <w:tcPr>
            <w:tcW w:w="3420" w:type="dxa"/>
          </w:tcPr>
          <w:p w14:paraId="71F8986E" w14:textId="77777777" w:rsidR="00EA2B95" w:rsidRDefault="00AF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Daugiau kaip 75000</w:t>
            </w:r>
          </w:p>
        </w:tc>
        <w:tc>
          <w:tcPr>
            <w:tcW w:w="5472" w:type="dxa"/>
          </w:tcPr>
          <w:p w14:paraId="71F8986F" w14:textId="77777777" w:rsidR="00EA2B95" w:rsidRDefault="00AF235F">
            <w:pPr>
              <w:rPr>
                <w:szCs w:val="24"/>
              </w:rPr>
            </w:pPr>
            <w:r>
              <w:rPr>
                <w:szCs w:val="24"/>
              </w:rPr>
              <w:t>100 (iš jų keturi pritaikyti neįgaliesiems asmenims)</w:t>
            </w:r>
          </w:p>
        </w:tc>
      </w:tr>
    </w:tbl>
    <w:p w14:paraId="71F89871" w14:textId="77777777" w:rsidR="00EA2B95" w:rsidRDefault="00EA2B95">
      <w:pPr>
        <w:rPr>
          <w:szCs w:val="24"/>
        </w:rPr>
      </w:pPr>
    </w:p>
    <w:p w14:paraId="71F89872" w14:textId="77777777" w:rsidR="00EA2B95" w:rsidRDefault="00AF235F">
      <w:pPr>
        <w:jc w:val="center"/>
        <w:rPr>
          <w:szCs w:val="24"/>
        </w:rPr>
      </w:pPr>
      <w:r>
        <w:rPr>
          <w:szCs w:val="24"/>
        </w:rPr>
        <w:t>_______</w:t>
      </w:r>
      <w:bookmarkStart w:id="0" w:name="_GoBack"/>
      <w:bookmarkEnd w:id="0"/>
      <w:r>
        <w:rPr>
          <w:szCs w:val="24"/>
        </w:rPr>
        <w:t>_____________</w:t>
      </w:r>
    </w:p>
    <w:sectPr w:rsidR="00EA2B9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9877" w14:textId="77777777" w:rsidR="00EA2B95" w:rsidRDefault="00AF235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1F89878" w14:textId="77777777" w:rsidR="00EA2B95" w:rsidRDefault="00AF235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987B" w14:textId="77777777" w:rsidR="00EA2B95" w:rsidRDefault="00EA2B95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987C" w14:textId="77777777" w:rsidR="00EA2B95" w:rsidRDefault="00EA2B95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987E" w14:textId="77777777" w:rsidR="00EA2B95" w:rsidRDefault="00EA2B95">
    <w:pPr>
      <w:tabs>
        <w:tab w:val="center" w:pos="4819"/>
        <w:tab w:val="right" w:pos="9638"/>
      </w:tabs>
      <w:jc w:val="right"/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9875" w14:textId="77777777" w:rsidR="00EA2B95" w:rsidRDefault="00AF235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1F89876" w14:textId="77777777" w:rsidR="00EA2B95" w:rsidRDefault="00AF235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9879" w14:textId="77777777" w:rsidR="00EA2B95" w:rsidRDefault="00EA2B95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987A" w14:textId="77777777" w:rsidR="00EA2B95" w:rsidRDefault="00EA2B95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987D" w14:textId="77777777" w:rsidR="00EA2B95" w:rsidRDefault="00EA2B95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2"/>
    <w:rsid w:val="00096732"/>
    <w:rsid w:val="00AF235F"/>
    <w:rsid w:val="00E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89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0AE4E66691A"/>
  <Relationship Id="rId11" Type="http://schemas.openxmlformats.org/officeDocument/2006/relationships/hyperlink" TargetMode="External" Target="https://www.e-tar.lt/portal/lt/legalAct/TAR.CF599A1A6DD5"/>
  <Relationship Id="rId12" Type="http://schemas.openxmlformats.org/officeDocument/2006/relationships/hyperlink" TargetMode="External" Target="https://www.e-tar.lt/portal/lt/legalAct/TAR.18F4EB30E002"/>
  <Relationship Id="rId13" Type="http://schemas.openxmlformats.org/officeDocument/2006/relationships/hyperlink" TargetMode="External" Target="https://www.e-tar.lt/portal/lt/legalAct/TAR.C30DB229877B"/>
  <Relationship Id="rId14" Type="http://schemas.openxmlformats.org/officeDocument/2006/relationships/hyperlink" TargetMode="External" Target="https://www.e-tar.lt/portal/lt/legalAct/TAR.E88921718FB6"/>
  <Relationship Id="rId15" Type="http://schemas.openxmlformats.org/officeDocument/2006/relationships/hyperlink" TargetMode="External" Target="https://www.e-tar.lt/portal/lt/legalAct/TAR.2CDF7CF05F4F"/>
  <Relationship Id="rId16" Type="http://schemas.openxmlformats.org/officeDocument/2006/relationships/hyperlink" TargetMode="External" Target="https://www.e-tar.lt/portal/lt/legalAct/TAR.D2EB5CBFF6C7"/>
  <Relationship Id="rId17" Type="http://schemas.openxmlformats.org/officeDocument/2006/relationships/hyperlink" TargetMode="External" Target="https://www.e-tar.lt/portal/lt/legalAct/TAR.07F97FC589FC"/>
  <Relationship Id="rId18" Type="http://schemas.openxmlformats.org/officeDocument/2006/relationships/hyperlink" TargetMode="External" Target="https://www.e-tar.lt/portal/lt/legalAct/TAR.0203AAF66FB8"/>
  <Relationship Id="rId19" Type="http://schemas.openxmlformats.org/officeDocument/2006/relationships/hyperlink" TargetMode="External" Target="https://www.e-tar.lt/portal/lt/legalAct/TAR.C73C61C14F4F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C9DC4FD96FC2"/>
  <Relationship Id="rId21" Type="http://schemas.openxmlformats.org/officeDocument/2006/relationships/hyperlink" TargetMode="External" Target="https://www.e-tar.lt/portal/lt/legalAct/TAR.C9124D89BCAE"/>
  <Relationship Id="rId22" Type="http://schemas.openxmlformats.org/officeDocument/2006/relationships/hyperlink" TargetMode="External" Target="https://www.e-tar.lt/portal/lt/legalAct/TAR.C25D9A4F670E"/>
  <Relationship Id="rId23" Type="http://schemas.openxmlformats.org/officeDocument/2006/relationships/hyperlink" TargetMode="External" Target="https://www.e-tar.lt/portal/lt/legalAct/TAR.E824F2E43701"/>
  <Relationship Id="rId24" Type="http://schemas.openxmlformats.org/officeDocument/2006/relationships/hyperlink" TargetMode="External" Target="https://www.e-tar.lt/portal/lt/legalAct/TAR.E7152F34B71F"/>
  <Relationship Id="rId25" Type="http://schemas.openxmlformats.org/officeDocument/2006/relationships/hyperlink" TargetMode="External" Target="https://www.e-tar.lt/portal/lt/legalAct/TAR.3E128DF8E4DE"/>
  <Relationship Id="rId26" Type="http://schemas.openxmlformats.org/officeDocument/2006/relationships/hyperlink" TargetMode="External" Target="https://www.e-tar.lt/portal/lt/legalAct/TAR.9ADB10F259E9"/>
  <Relationship Id="rId27" Type="http://schemas.openxmlformats.org/officeDocument/2006/relationships/header" Target="header1.xml"/>
  <Relationship Id="rId28" Type="http://schemas.openxmlformats.org/officeDocument/2006/relationships/header" Target="header2.xml"/>
  <Relationship Id="rId29" Type="http://schemas.openxmlformats.org/officeDocument/2006/relationships/footer" Target="footer1.xml"/>
  <Relationship Id="rId3" Type="http://schemas.microsoft.com/office/2007/relationships/stylesWithEffects" Target="stylesWithEffects.xml"/>
  <Relationship Id="rId30" Type="http://schemas.openxmlformats.org/officeDocument/2006/relationships/footer" Target="footer2.xml"/>
  <Relationship Id="rId31" Type="http://schemas.openxmlformats.org/officeDocument/2006/relationships/header" Target="header3.xml"/>
  <Relationship Id="rId32" Type="http://schemas.openxmlformats.org/officeDocument/2006/relationships/footer" Target="footer3.xml"/>
  <Relationship Id="rId33" Type="http://schemas.openxmlformats.org/officeDocument/2006/relationships/fontTable" Target="fontTable.xml"/>
  <Relationship Id="rId34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s://www.e-tar.lt/portal/lt/legalAct/TAR.D0CD0966D67F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7926</Characters>
  <Application>Microsoft Office Word</Application>
  <DocSecurity>0</DocSecurity>
  <Lines>66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TARYBOS 2011-11-23 SPRENDIMO NR. 1-326 „DĖL TVARKYMO IR ŠVAROS TAISYKLIŲ TVIRTINIMO“ PAKEITIMO</vt:lpstr>
      <vt:lpstr>DĖL TARYBOS 2011-11-23 SPRENDIMO NR. 1-326 „DĖL TVARKYMO IR ŠVAROS TAISYKLIŲ TVIRTINIMO“ PAKEITIMO</vt:lpstr>
    </vt:vector>
  </TitlesOfParts>
  <Manager>2012-06-20</Manager>
  <Company>SINTAGMA</Company>
  <LinksUpToDate>false</LinksUpToDate>
  <CharactersWithSpaces>8852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2015-07-29T03:31:00Z</dcterms:created>
  <dc:creator>VILNIAUS MIESTO SAVIVALDYBĖS TARYBA</dc:creator>
  <lastModifiedBy>ŠĖMYTĖ Giedrė</lastModifiedBy>
  <dcterms:modified xsi:type="dcterms:W3CDTF">2016-04-07T11:58:00Z</dcterms:modified>
  <revision>3</revision>
  <dc:subject>1-670</dc:subject>
  <dc:title>DĖL TARYBOS 2011-11-23 SPRENDIMO NR. 1-326 „DĖL TVARKYMO IR ŠVAROS TAISYKLIŲ TVIRTINIMO“ PAKEITIMO</dc:title>
</coreProperties>
</file>