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B8BB" w14:textId="1326BE97" w:rsidR="000805A6" w:rsidRDefault="00D462C6" w:rsidP="00D462C6">
      <w:pPr>
        <w:tabs>
          <w:tab w:val="center" w:pos="4819"/>
          <w:tab w:val="right" w:pos="9638"/>
        </w:tabs>
        <w:jc w:val="center"/>
        <w:rPr>
          <w:szCs w:val="24"/>
          <w:lang w:val="en-US"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6C75B8D9" wp14:editId="6C75B8DA">
            <wp:extent cx="390525" cy="466725"/>
            <wp:effectExtent l="0" t="0" r="9525" b="9525"/>
            <wp:docPr id="1" name="Paveikslėlis 1" descr="VH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VH3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5B8BD" w14:textId="77777777" w:rsidR="000805A6" w:rsidRDefault="00D462C6">
      <w:pPr>
        <w:jc w:val="center"/>
        <w:rPr>
          <w:b/>
          <w:szCs w:val="24"/>
          <w:lang w:val="en-US" w:eastAsia="lt-LT"/>
        </w:rPr>
      </w:pPr>
      <w:r>
        <w:rPr>
          <w:b/>
          <w:szCs w:val="24"/>
          <w:lang w:val="en-US" w:eastAsia="lt-LT"/>
        </w:rPr>
        <w:t>VILNIAUS MIESTO SAVIVALDYBĖS</w:t>
      </w:r>
    </w:p>
    <w:p w14:paraId="6C75B8BE" w14:textId="77777777" w:rsidR="000805A6" w:rsidRDefault="00D462C6">
      <w:pPr>
        <w:jc w:val="center"/>
        <w:rPr>
          <w:szCs w:val="24"/>
          <w:lang w:val="en-US" w:eastAsia="lt-LT"/>
        </w:rPr>
      </w:pPr>
      <w:r>
        <w:rPr>
          <w:b/>
          <w:szCs w:val="24"/>
          <w:lang w:val="en-US" w:eastAsia="lt-LT"/>
        </w:rPr>
        <w:t>TARYBA</w:t>
      </w:r>
    </w:p>
    <w:p w14:paraId="6C75B8BF" w14:textId="77777777" w:rsidR="000805A6" w:rsidRDefault="000805A6">
      <w:pPr>
        <w:rPr>
          <w:szCs w:val="24"/>
          <w:lang w:val="en-US" w:eastAsia="lt-LT"/>
        </w:rPr>
      </w:pPr>
    </w:p>
    <w:p w14:paraId="6C75B8C0" w14:textId="77777777" w:rsidR="000805A6" w:rsidRDefault="00D462C6">
      <w:pPr>
        <w:keepNext/>
        <w:jc w:val="center"/>
        <w:outlineLvl w:val="2"/>
        <w:rPr>
          <w:b/>
          <w:szCs w:val="24"/>
          <w:lang w:val="en-US" w:eastAsia="lt-LT"/>
        </w:rPr>
      </w:pPr>
      <w:r>
        <w:rPr>
          <w:b/>
          <w:szCs w:val="24"/>
          <w:lang w:val="en-US" w:eastAsia="lt-LT"/>
        </w:rPr>
        <w:t>SPRENDIMAS</w:t>
      </w:r>
    </w:p>
    <w:p w14:paraId="6C75B8C1" w14:textId="77777777" w:rsidR="000805A6" w:rsidRDefault="00D462C6">
      <w:pPr>
        <w:jc w:val="center"/>
        <w:rPr>
          <w:b/>
          <w:szCs w:val="24"/>
          <w:lang w:val="en-US" w:eastAsia="lt-LT"/>
        </w:rPr>
      </w:pPr>
      <w:r>
        <w:rPr>
          <w:b/>
          <w:szCs w:val="24"/>
          <w:lang w:val="en-US" w:eastAsia="lt-LT"/>
        </w:rPr>
        <w:t xml:space="preserve">DĖL TARYBOS 2011-11-23 SPRENDIMO NR. 1-326 </w:t>
      </w:r>
      <w:r>
        <w:rPr>
          <w:b/>
          <w:caps/>
          <w:szCs w:val="24"/>
          <w:lang w:val="en-US" w:eastAsia="lt-LT"/>
        </w:rPr>
        <w:t>„</w:t>
      </w:r>
      <w:r>
        <w:rPr>
          <w:b/>
          <w:szCs w:val="24"/>
          <w:lang w:val="en-US" w:eastAsia="lt-LT"/>
        </w:rPr>
        <w:t>DĖL TVARKYMO IR ŠVAROS TAISYKLIŲ TVIRTINIMO</w:t>
      </w:r>
      <w:r>
        <w:rPr>
          <w:b/>
          <w:szCs w:val="24"/>
          <w:lang w:eastAsia="lt-LT"/>
        </w:rPr>
        <w:t>“</w:t>
      </w:r>
      <w:r>
        <w:rPr>
          <w:b/>
          <w:szCs w:val="24"/>
          <w:lang w:val="en-US" w:eastAsia="lt-LT"/>
        </w:rPr>
        <w:t xml:space="preserve"> PAKEITIMO</w:t>
      </w:r>
    </w:p>
    <w:p w14:paraId="6C75B8C2" w14:textId="77777777" w:rsidR="000805A6" w:rsidRDefault="000805A6">
      <w:pPr>
        <w:jc w:val="center"/>
        <w:rPr>
          <w:szCs w:val="24"/>
          <w:lang w:eastAsia="lt-LT"/>
        </w:rPr>
      </w:pPr>
    </w:p>
    <w:p w14:paraId="6C75B8C3" w14:textId="77777777" w:rsidR="000805A6" w:rsidRDefault="00D462C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2013 m. spalio 16 d. Nr. 1-1502</w:t>
      </w:r>
    </w:p>
    <w:p w14:paraId="6C75B8C4" w14:textId="77777777" w:rsidR="000805A6" w:rsidRDefault="00D462C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6C75B8C5" w14:textId="77777777" w:rsidR="000805A6" w:rsidRDefault="000805A6">
      <w:pPr>
        <w:jc w:val="both"/>
        <w:rPr>
          <w:szCs w:val="24"/>
          <w:lang w:eastAsia="lt-LT"/>
        </w:rPr>
      </w:pPr>
    </w:p>
    <w:p w14:paraId="144E1921" w14:textId="77777777" w:rsidR="00D462C6" w:rsidRDefault="00D462C6">
      <w:pPr>
        <w:jc w:val="both"/>
        <w:rPr>
          <w:szCs w:val="24"/>
          <w:lang w:eastAsia="lt-LT"/>
        </w:rPr>
      </w:pPr>
    </w:p>
    <w:p w14:paraId="6C75B8C6" w14:textId="77777777" w:rsidR="000805A6" w:rsidRDefault="00D462C6">
      <w:pPr>
        <w:ind w:firstLine="709"/>
        <w:jc w:val="both"/>
        <w:rPr>
          <w:szCs w:val="24"/>
          <w:lang w:eastAsia="lt-LT"/>
        </w:rPr>
      </w:pPr>
      <w:r w:rsidRPr="00D462C6">
        <w:rPr>
          <w:color w:val="000000" w:themeColor="text1"/>
          <w:szCs w:val="24"/>
          <w:lang w:eastAsia="lt-LT"/>
        </w:rPr>
        <w:t xml:space="preserve">Vadovaudamasi Lietuvos Respublikos vietos savivaldos įstatymo 16 straipsnio 2 dalies 36 punktu (Žin., 1994, Nr. </w:t>
      </w:r>
      <w:hyperlink r:id="rId9" w:tgtFrame="_blank" w:history="1">
        <w:r w:rsidRPr="00D462C6">
          <w:rPr>
            <w:color w:val="000000" w:themeColor="text1"/>
            <w:szCs w:val="24"/>
            <w:lang w:eastAsia="lt-LT"/>
          </w:rPr>
          <w:t>55-1049</w:t>
        </w:r>
      </w:hyperlink>
      <w:r w:rsidRPr="00D462C6">
        <w:rPr>
          <w:color w:val="000000" w:themeColor="text1"/>
          <w:szCs w:val="24"/>
          <w:lang w:eastAsia="lt-LT"/>
        </w:rPr>
        <w:t xml:space="preserve">; 2000, Nr. </w:t>
      </w:r>
      <w:hyperlink r:id="rId10" w:tgtFrame="_blank" w:history="1">
        <w:r w:rsidRPr="00D462C6">
          <w:rPr>
            <w:color w:val="000000" w:themeColor="text1"/>
            <w:szCs w:val="24"/>
            <w:lang w:eastAsia="lt-LT"/>
          </w:rPr>
          <w:t>91-2832</w:t>
        </w:r>
      </w:hyperlink>
      <w:r w:rsidRPr="00D462C6">
        <w:rPr>
          <w:color w:val="000000" w:themeColor="text1"/>
          <w:szCs w:val="24"/>
          <w:lang w:eastAsia="lt-LT"/>
        </w:rPr>
        <w:t xml:space="preserve">; 2008, Nr. </w:t>
      </w:r>
      <w:hyperlink r:id="rId11" w:tgtFrame="_blank" w:history="1">
        <w:r w:rsidRPr="00D462C6">
          <w:rPr>
            <w:color w:val="000000" w:themeColor="text1"/>
            <w:szCs w:val="24"/>
            <w:lang w:eastAsia="lt-LT"/>
          </w:rPr>
          <w:t>113-4290</w:t>
        </w:r>
      </w:hyperlink>
      <w:r w:rsidRPr="00D462C6">
        <w:rPr>
          <w:color w:val="000000" w:themeColor="text1"/>
          <w:szCs w:val="24"/>
          <w:lang w:eastAsia="lt-LT"/>
        </w:rPr>
        <w:t xml:space="preserve">, Nr. </w:t>
      </w:r>
      <w:hyperlink r:id="rId12" w:tgtFrame="_blank" w:history="1">
        <w:r w:rsidRPr="00D462C6">
          <w:rPr>
            <w:color w:val="000000" w:themeColor="text1"/>
            <w:szCs w:val="24"/>
            <w:lang w:eastAsia="lt-LT"/>
          </w:rPr>
          <w:t>137-5379</w:t>
        </w:r>
      </w:hyperlink>
      <w:r w:rsidRPr="00D462C6">
        <w:rPr>
          <w:color w:val="000000" w:themeColor="text1"/>
          <w:szCs w:val="24"/>
          <w:lang w:eastAsia="lt-LT"/>
        </w:rPr>
        <w:t xml:space="preserve">; 2009, Nr. </w:t>
      </w:r>
      <w:hyperlink r:id="rId13" w:tgtFrame="_blank" w:history="1">
        <w:r w:rsidRPr="00D462C6">
          <w:rPr>
            <w:color w:val="000000" w:themeColor="text1"/>
            <w:szCs w:val="24"/>
            <w:lang w:eastAsia="lt-LT"/>
          </w:rPr>
          <w:t>77-3165</w:t>
        </w:r>
      </w:hyperlink>
      <w:r w:rsidRPr="00D462C6">
        <w:rPr>
          <w:color w:val="000000" w:themeColor="text1"/>
          <w:szCs w:val="24"/>
          <w:lang w:eastAsia="lt-LT"/>
        </w:rPr>
        <w:t xml:space="preserve">, Nr. </w:t>
      </w:r>
      <w:hyperlink r:id="rId14" w:tgtFrame="_blank" w:history="1">
        <w:r w:rsidRPr="00D462C6">
          <w:rPr>
            <w:color w:val="000000" w:themeColor="text1"/>
            <w:szCs w:val="24"/>
            <w:lang w:eastAsia="lt-LT"/>
          </w:rPr>
          <w:t>159-7206</w:t>
        </w:r>
      </w:hyperlink>
      <w:r w:rsidRPr="00D462C6">
        <w:rPr>
          <w:color w:val="000000" w:themeColor="text1"/>
          <w:szCs w:val="24"/>
          <w:lang w:eastAsia="lt-LT"/>
        </w:rPr>
        <w:t xml:space="preserve">; 2010, Nr. </w:t>
      </w:r>
      <w:hyperlink r:id="rId15" w:tgtFrame="_blank" w:history="1">
        <w:r w:rsidRPr="00D462C6">
          <w:rPr>
            <w:color w:val="000000" w:themeColor="text1"/>
            <w:szCs w:val="24"/>
            <w:lang w:eastAsia="lt-LT"/>
          </w:rPr>
          <w:t>25-1177</w:t>
        </w:r>
      </w:hyperlink>
      <w:r w:rsidRPr="00D462C6">
        <w:rPr>
          <w:color w:val="000000" w:themeColor="text1"/>
          <w:szCs w:val="24"/>
          <w:lang w:eastAsia="lt-LT"/>
        </w:rPr>
        <w:t xml:space="preserve">, Nr. </w:t>
      </w:r>
      <w:hyperlink r:id="rId16" w:tgtFrame="_blank" w:history="1">
        <w:r w:rsidRPr="00D462C6">
          <w:rPr>
            <w:color w:val="000000" w:themeColor="text1"/>
            <w:szCs w:val="24"/>
            <w:lang w:eastAsia="lt-LT"/>
          </w:rPr>
          <w:t>51-2480</w:t>
        </w:r>
      </w:hyperlink>
      <w:r w:rsidRPr="00D462C6">
        <w:rPr>
          <w:color w:val="000000" w:themeColor="text1"/>
          <w:szCs w:val="24"/>
          <w:lang w:eastAsia="lt-LT"/>
        </w:rPr>
        <w:t xml:space="preserve">) ir Lietuvos Respublikos administracinių teisės pažeidimų kodekso 5 straipsnio </w:t>
      </w:r>
      <w:r w:rsidRPr="00D462C6">
        <w:rPr>
          <w:color w:val="000000" w:themeColor="text1"/>
          <w:szCs w:val="24"/>
          <w:lang w:eastAsia="lt-LT"/>
        </w:rPr>
        <w:t xml:space="preserve">2 dalimi (Žin., 1985, Nr. 1-1; 1992, Nr. </w:t>
      </w:r>
      <w:hyperlink r:id="rId17" w:tgtFrame="_blank" w:history="1">
        <w:r w:rsidRPr="00D462C6">
          <w:rPr>
            <w:color w:val="000000" w:themeColor="text1"/>
            <w:szCs w:val="24"/>
            <w:lang w:eastAsia="lt-LT"/>
          </w:rPr>
          <w:t>21-610</w:t>
        </w:r>
      </w:hyperlink>
      <w:r w:rsidRPr="00D462C6">
        <w:rPr>
          <w:color w:val="000000" w:themeColor="text1"/>
          <w:szCs w:val="24"/>
          <w:lang w:eastAsia="lt-LT"/>
        </w:rPr>
        <w:t xml:space="preserve">; 1995, Nr. </w:t>
      </w:r>
      <w:hyperlink r:id="rId18" w:tgtFrame="_blank" w:history="1">
        <w:r w:rsidRPr="00D462C6">
          <w:rPr>
            <w:color w:val="000000" w:themeColor="text1"/>
            <w:szCs w:val="24"/>
            <w:lang w:eastAsia="lt-LT"/>
          </w:rPr>
          <w:t>55-1356</w:t>
        </w:r>
      </w:hyperlink>
      <w:r w:rsidRPr="00D462C6">
        <w:rPr>
          <w:color w:val="000000" w:themeColor="text1"/>
          <w:szCs w:val="24"/>
          <w:lang w:eastAsia="lt-LT"/>
        </w:rPr>
        <w:t xml:space="preserve">; 1998, Nr. </w:t>
      </w:r>
      <w:hyperlink r:id="rId19" w:tgtFrame="_blank" w:history="1">
        <w:r w:rsidRPr="00D462C6">
          <w:rPr>
            <w:color w:val="000000" w:themeColor="text1"/>
            <w:szCs w:val="24"/>
            <w:lang w:eastAsia="lt-LT"/>
          </w:rPr>
          <w:t>25-636</w:t>
        </w:r>
      </w:hyperlink>
      <w:r w:rsidRPr="00D462C6">
        <w:rPr>
          <w:color w:val="000000" w:themeColor="text1"/>
          <w:szCs w:val="24"/>
          <w:lang w:eastAsia="lt-LT"/>
        </w:rPr>
        <w:t xml:space="preserve">; 2000, Nr. </w:t>
      </w:r>
      <w:hyperlink r:id="rId20" w:tgtFrame="_blank" w:history="1">
        <w:r w:rsidRPr="00D462C6">
          <w:rPr>
            <w:color w:val="000000" w:themeColor="text1"/>
            <w:szCs w:val="24"/>
            <w:lang w:eastAsia="lt-LT"/>
          </w:rPr>
          <w:t>22-552</w:t>
        </w:r>
      </w:hyperlink>
      <w:r w:rsidRPr="00D462C6">
        <w:rPr>
          <w:color w:val="000000" w:themeColor="text1"/>
          <w:szCs w:val="24"/>
          <w:lang w:eastAsia="lt-LT"/>
        </w:rPr>
        <w:t xml:space="preserve">; 2001, Nr. </w:t>
      </w:r>
      <w:hyperlink r:id="rId21" w:tgtFrame="_blank" w:history="1">
        <w:r w:rsidRPr="00D462C6">
          <w:rPr>
            <w:color w:val="000000" w:themeColor="text1"/>
            <w:szCs w:val="24"/>
            <w:lang w:eastAsia="lt-LT"/>
          </w:rPr>
          <w:t>99-</w:t>
        </w:r>
        <w:r w:rsidRPr="00D462C6">
          <w:rPr>
            <w:color w:val="000000" w:themeColor="text1"/>
            <w:szCs w:val="24"/>
            <w:lang w:eastAsia="lt-LT"/>
          </w:rPr>
          <w:t>3522</w:t>
        </w:r>
      </w:hyperlink>
      <w:r w:rsidRPr="00D462C6">
        <w:rPr>
          <w:color w:val="000000" w:themeColor="text1"/>
          <w:szCs w:val="24"/>
          <w:lang w:eastAsia="lt-LT"/>
        </w:rPr>
        <w:t xml:space="preserve">; 2002, Nr. </w:t>
      </w:r>
      <w:hyperlink r:id="rId22" w:tgtFrame="_blank" w:history="1">
        <w:r w:rsidRPr="00D462C6">
          <w:rPr>
            <w:color w:val="000000" w:themeColor="text1"/>
            <w:szCs w:val="24"/>
            <w:lang w:eastAsia="lt-LT"/>
          </w:rPr>
          <w:t>124-5623</w:t>
        </w:r>
      </w:hyperlink>
      <w:r w:rsidRPr="00D462C6">
        <w:rPr>
          <w:color w:val="000000" w:themeColor="text1"/>
          <w:szCs w:val="24"/>
          <w:lang w:eastAsia="lt-LT"/>
        </w:rPr>
        <w:t xml:space="preserve">; 2004, Nr. </w:t>
      </w:r>
      <w:hyperlink r:id="rId23" w:tgtFrame="_blank" w:history="1">
        <w:r w:rsidRPr="00D462C6">
          <w:rPr>
            <w:color w:val="000000" w:themeColor="text1"/>
            <w:szCs w:val="24"/>
            <w:lang w:eastAsia="lt-LT"/>
          </w:rPr>
          <w:t>166-6060</w:t>
        </w:r>
      </w:hyperlink>
      <w:r w:rsidRPr="00D462C6">
        <w:rPr>
          <w:color w:val="000000" w:themeColor="text1"/>
          <w:szCs w:val="24"/>
          <w:lang w:eastAsia="lt-LT"/>
        </w:rPr>
        <w:t xml:space="preserve">; 2006, Nr. </w:t>
      </w:r>
      <w:hyperlink r:id="rId24" w:tgtFrame="_blank" w:history="1">
        <w:r w:rsidRPr="00D462C6">
          <w:rPr>
            <w:color w:val="000000" w:themeColor="text1"/>
            <w:szCs w:val="24"/>
            <w:lang w:eastAsia="lt-LT"/>
          </w:rPr>
          <w:t>73-2759</w:t>
        </w:r>
      </w:hyperlink>
      <w:r w:rsidRPr="00D462C6">
        <w:rPr>
          <w:color w:val="000000" w:themeColor="text1"/>
          <w:szCs w:val="24"/>
          <w:lang w:eastAsia="lt-LT"/>
        </w:rPr>
        <w:t xml:space="preserve">; 2007, Nr. </w:t>
      </w:r>
      <w:hyperlink r:id="rId25" w:tgtFrame="_blank" w:history="1">
        <w:r w:rsidRPr="00D462C6">
          <w:rPr>
            <w:color w:val="000000" w:themeColor="text1"/>
            <w:szCs w:val="24"/>
            <w:lang w:eastAsia="lt-LT"/>
          </w:rPr>
          <w:t>81-3316</w:t>
        </w:r>
      </w:hyperlink>
      <w:r w:rsidRPr="00D462C6">
        <w:rPr>
          <w:color w:val="000000" w:themeColor="text1"/>
          <w:szCs w:val="24"/>
          <w:lang w:eastAsia="lt-LT"/>
        </w:rPr>
        <w:t xml:space="preserve">; 2010, Nr. </w:t>
      </w:r>
      <w:hyperlink r:id="rId26" w:tgtFrame="_blank" w:history="1">
        <w:r w:rsidRPr="00D462C6">
          <w:rPr>
            <w:color w:val="000000" w:themeColor="text1"/>
            <w:szCs w:val="24"/>
            <w:lang w:eastAsia="lt-LT"/>
          </w:rPr>
          <w:t>157-7968</w:t>
        </w:r>
      </w:hyperlink>
      <w:r w:rsidRPr="00D462C6">
        <w:rPr>
          <w:color w:val="000000" w:themeColor="text1"/>
          <w:szCs w:val="24"/>
          <w:lang w:eastAsia="lt-LT"/>
        </w:rPr>
        <w:t>), Vilniaus mie</w:t>
      </w:r>
      <w:r w:rsidRPr="00D462C6">
        <w:rPr>
          <w:color w:val="000000" w:themeColor="text1"/>
          <w:szCs w:val="24"/>
          <w:lang w:eastAsia="lt-LT"/>
        </w:rPr>
        <w:t>sto savivaldybės taryba n u s p r e n d ž i a:</w:t>
      </w:r>
    </w:p>
    <w:p w14:paraId="6C75B8C7" w14:textId="77777777" w:rsidR="000805A6" w:rsidRDefault="00D462C6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Vilniaus miesto savivaldybės tarybos 2011 m. lapkričio 23 d. sprendimu Nr. 1-326 patvirtintas Tvarkymo ir švaros taisykles:</w:t>
      </w:r>
    </w:p>
    <w:p w14:paraId="6C75B8C8" w14:textId="77777777" w:rsidR="000805A6" w:rsidRDefault="00D462C6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išdėstyti 3 punktą taip:</w:t>
      </w:r>
    </w:p>
    <w:p w14:paraId="6C75B8C9" w14:textId="77777777" w:rsidR="000805A6" w:rsidRDefault="00D462C6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Asmenys tvarko ir užtikrina švarą ji</w:t>
      </w:r>
      <w:r>
        <w:rPr>
          <w:szCs w:val="24"/>
          <w:lang w:eastAsia="lt-LT"/>
        </w:rPr>
        <w:t>ems nuosavybės teise priklausančiose ar Lietuvos Respublikos įstatymų, administracinių aktų, sutarčių, susitarimų ir teismo sprendimų pagrindu priskirtose ar valdomose teritorijose, o faktiškai naudojamose teritorijose veikdami per bendrojo naudojimo objek</w:t>
      </w:r>
      <w:r>
        <w:rPr>
          <w:szCs w:val="24"/>
          <w:lang w:eastAsia="lt-LT"/>
        </w:rPr>
        <w:t>tų valdytojus.“;</w:t>
      </w:r>
    </w:p>
    <w:p w14:paraId="6C75B8CA" w14:textId="77777777" w:rsidR="000805A6" w:rsidRDefault="00D462C6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išdėstyti 5 punktą taip: </w:t>
      </w:r>
    </w:p>
    <w:p w14:paraId="6C75B8CB" w14:textId="77777777" w:rsidR="000805A6" w:rsidRDefault="00D462C6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Taisyklėse vartojamos sąvokos:</w:t>
      </w:r>
    </w:p>
    <w:p w14:paraId="6C75B8CC" w14:textId="77777777" w:rsidR="000805A6" w:rsidRDefault="00D462C6">
      <w:pPr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Eismo zonos</w:t>
      </w:r>
      <w:r>
        <w:rPr>
          <w:szCs w:val="24"/>
          <w:lang w:eastAsia="lt-LT"/>
        </w:rPr>
        <w:t xml:space="preserve"> – keliai, gatvės, sankryžos, tiltai, viadukai, estakados, pėsčiųjų, dviračių takai, aikštės, skverai ir parkai.</w:t>
      </w:r>
    </w:p>
    <w:p w14:paraId="6C75B8CD" w14:textId="77777777" w:rsidR="000805A6" w:rsidRDefault="00D462C6">
      <w:pPr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Filmo filmavimas</w:t>
      </w:r>
      <w:r>
        <w:rPr>
          <w:szCs w:val="24"/>
          <w:lang w:eastAsia="lt-LT"/>
        </w:rPr>
        <w:t xml:space="preserve"> – filmo gamybos etapas, kurio metu filmuojant pagal scenarijų, kalendorinį darbų planą ir laikantis sąmatos, įgyvendinamas filmo kūrybinis sumanymas. Filmo filmavimui taikomi renginių organizavimo reikalavimai su Taisyklėse nustatytomis išimtimis.</w:t>
      </w:r>
    </w:p>
    <w:p w14:paraId="6C75B8CE" w14:textId="77777777" w:rsidR="000805A6" w:rsidRDefault="00D462C6">
      <w:pPr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Pagrind</w:t>
      </w:r>
      <w:r>
        <w:rPr>
          <w:b/>
          <w:szCs w:val="24"/>
          <w:lang w:eastAsia="lt-LT"/>
        </w:rPr>
        <w:t>inės gatvės</w:t>
      </w:r>
      <w:r>
        <w:rPr>
          <w:szCs w:val="24"/>
          <w:lang w:eastAsia="lt-LT"/>
        </w:rPr>
        <w:t xml:space="preserve"> – A, B ir C kategorijų gatvės, nurodytos Savivaldybės tarybos </w:t>
      </w:r>
      <w:smartTag w:uri="urn:schemas-microsoft-com:office:smarttags" w:element="metricconverter">
        <w:smartTagPr>
          <w:attr w:name="ProductID" w:val="2007 m"/>
        </w:smartTagPr>
        <w:r>
          <w:rPr>
            <w:szCs w:val="24"/>
            <w:lang w:eastAsia="lt-LT"/>
          </w:rPr>
          <w:t>2007 m</w:t>
        </w:r>
      </w:smartTag>
      <w:r>
        <w:rPr>
          <w:szCs w:val="24"/>
          <w:lang w:eastAsia="lt-LT"/>
        </w:rPr>
        <w:t>. vasario 14 d. sprendimu Nr. 1-1519 patvirtintame Vilniaus miesto savivaldybės teritorijos bendrajame plane iki 2015 metų.</w:t>
      </w:r>
    </w:p>
    <w:p w14:paraId="6C75B8CF" w14:textId="77777777" w:rsidR="000805A6" w:rsidRDefault="00D462C6">
      <w:pPr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Renginys</w:t>
      </w:r>
      <w:r>
        <w:rPr>
          <w:szCs w:val="24"/>
          <w:lang w:eastAsia="lt-LT"/>
        </w:rPr>
        <w:t xml:space="preserve"> – koncertas, festivalis, šventė, ceremonija</w:t>
      </w:r>
      <w:r>
        <w:rPr>
          <w:szCs w:val="24"/>
          <w:lang w:eastAsia="lt-LT"/>
        </w:rPr>
        <w:t>, minėjimas, paroda, eitynės, varžybos, mugė, reklaminė, pramoginė, socialinė, meninė ar kitokio pobūdžio akcija, filmo, reklamos, audiovizualinio kūrinio filmavimas, fotosesija ar kitas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tam tikrą laiką trunkantis asmens organizuotas žmonių susibūrimas vie</w:t>
      </w:r>
      <w:r>
        <w:rPr>
          <w:szCs w:val="24"/>
          <w:lang w:eastAsia="lt-LT"/>
        </w:rPr>
        <w:t>šojoje vietoje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iš anksto nustatytu laiku, skirtas tenkinti kultūrinius, sporto, verslo, socialinius ar kitus poreikius.</w:t>
      </w:r>
    </w:p>
    <w:p w14:paraId="6C75B8D0" w14:textId="77777777" w:rsidR="000805A6" w:rsidRDefault="00D462C6">
      <w:pPr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Skelbimas</w:t>
      </w:r>
      <w:r>
        <w:rPr>
          <w:szCs w:val="24"/>
          <w:lang w:eastAsia="lt-LT"/>
        </w:rPr>
        <w:t xml:space="preserve"> – priklijuojamas, prisegamas ar kitaip tvirtinamas informaciją pateikiantis</w:t>
      </w:r>
      <w:r>
        <w:rPr>
          <w:iCs/>
          <w:szCs w:val="24"/>
          <w:lang w:eastAsia="lt-LT"/>
        </w:rPr>
        <w:t xml:space="preserve"> pranešimas, ne</w:t>
      </w:r>
      <w:r>
        <w:rPr>
          <w:szCs w:val="24"/>
          <w:lang w:eastAsia="lt-LT"/>
        </w:rPr>
        <w:t>susijęs su asmens komercine-ūkine, f</w:t>
      </w:r>
      <w:r>
        <w:rPr>
          <w:szCs w:val="24"/>
          <w:lang w:eastAsia="lt-LT"/>
        </w:rPr>
        <w:t>inansine ar profesine veikla, neskatinantis įsigyti prekių ar naudotis paslaugomis.</w:t>
      </w:r>
    </w:p>
    <w:p w14:paraId="6C75B8D1" w14:textId="77777777" w:rsidR="000805A6" w:rsidRDefault="00D462C6">
      <w:pPr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Tvarkoma teritorija</w:t>
      </w:r>
      <w:r>
        <w:rPr>
          <w:szCs w:val="24"/>
          <w:lang w:eastAsia="lt-LT"/>
        </w:rPr>
        <w:t xml:space="preserve"> – asmeniui nuosavybės teise priklausanti ar Lietuvos Respublikos įstatymų, administracinių aktų, sutarčių, susitarimų ar teismo sprendimų pagrindu valdo</w:t>
      </w:r>
      <w:r>
        <w:rPr>
          <w:szCs w:val="24"/>
          <w:lang w:eastAsia="lt-LT"/>
        </w:rPr>
        <w:t>ma ar priskirta teritorija, ar faktiškai naudojama, jei teritorijų planavimo dokumentuose nėra apibrėžta (nurodyta). Faktiškai naudojama teritorija laikoma teritorija iki gretimos teisės aktų nustatyta tvarka priskirtos ar faktiškai naudojamos teritorijos,</w:t>
      </w:r>
      <w:r>
        <w:rPr>
          <w:szCs w:val="24"/>
          <w:lang w:eastAsia="lt-LT"/>
        </w:rPr>
        <w:t xml:space="preserve"> bet ne daugiau kaip 20 metrų nuo pastatų išorinių atitvarų, išskyrus teritorijas, besiribojančias su A, B, C kategorijų gatvėmis. Prie faktiškai </w:t>
      </w:r>
      <w:r>
        <w:rPr>
          <w:szCs w:val="24"/>
          <w:lang w:eastAsia="lt-LT"/>
        </w:rPr>
        <w:lastRenderedPageBreak/>
        <w:t>naudojamos teritorijos taip pat priskiriamos pastatui priskirtų buitinių atliekų ir antrinių žaliavų rūšiavimo</w:t>
      </w:r>
      <w:r>
        <w:rPr>
          <w:szCs w:val="24"/>
          <w:lang w:eastAsia="lt-LT"/>
        </w:rPr>
        <w:t xml:space="preserve"> konteinerių stovėjimo aikštelės.“;</w:t>
      </w:r>
    </w:p>
    <w:p w14:paraId="6C75B8D2" w14:textId="77777777" w:rsidR="000805A6" w:rsidRDefault="00D462C6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išdėstyti 7.2. punktą taip:</w:t>
      </w:r>
    </w:p>
    <w:p w14:paraId="6C75B8D3" w14:textId="77777777" w:rsidR="000805A6" w:rsidRDefault="00D462C6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7.2</w:t>
      </w:r>
      <w:r>
        <w:rPr>
          <w:szCs w:val="24"/>
          <w:lang w:eastAsia="lt-LT"/>
        </w:rPr>
        <w:t>. išvežti susikaupusias šiukšles iš šiukšlių dėžių, sutvarkyti teritoriją aplink jas ir buitinių atliekų bei antrinių žaliavų rūšiavimo konteinerius ir užtikrinti, kad šiukšli</w:t>
      </w:r>
      <w:r>
        <w:rPr>
          <w:szCs w:val="24"/>
          <w:lang w:eastAsia="lt-LT"/>
        </w:rPr>
        <w:t>ų dėžės ir konteineriai nebūtų perpildyti bei teritorijos aplink juos nebūtų užterštos.“</w:t>
      </w:r>
    </w:p>
    <w:p w14:paraId="6C75B8D7" w14:textId="71161313" w:rsidR="000805A6" w:rsidRDefault="00D462C6" w:rsidP="00D462C6">
      <w:pPr>
        <w:ind w:firstLine="709"/>
        <w:jc w:val="both"/>
        <w:rPr>
          <w:szCs w:val="24"/>
          <w:lang w:eastAsia="lt-LT"/>
        </w:rPr>
      </w:pPr>
      <w:r>
        <w:rPr>
          <w:caps/>
          <w:szCs w:val="24"/>
          <w:lang w:eastAsia="lt-LT"/>
        </w:rPr>
        <w:t>4</w:t>
      </w:r>
      <w:r>
        <w:rPr>
          <w:caps/>
          <w:szCs w:val="24"/>
          <w:lang w:eastAsia="lt-LT"/>
        </w:rPr>
        <w:t>.</w:t>
      </w:r>
      <w:r>
        <w:rPr>
          <w:b/>
          <w:caps/>
          <w:szCs w:val="24"/>
          <w:lang w:eastAsia="lt-LT"/>
        </w:rPr>
        <w:t xml:space="preserve"> </w:t>
      </w:r>
      <w:r>
        <w:rPr>
          <w:caps/>
          <w:szCs w:val="24"/>
          <w:lang w:eastAsia="lt-LT"/>
        </w:rPr>
        <w:t>„</w:t>
      </w:r>
      <w:r>
        <w:rPr>
          <w:szCs w:val="24"/>
          <w:lang w:eastAsia="lt-LT"/>
        </w:rPr>
        <w:t>Tvarkymo ir švaros taisyklių“ pakeitimai įsigalios nuo 2014 m. sausio 1 d.</w:t>
      </w:r>
    </w:p>
    <w:p w14:paraId="4BA00CF0" w14:textId="77777777" w:rsidR="00D462C6" w:rsidRDefault="00D462C6">
      <w:pPr>
        <w:tabs>
          <w:tab w:val="right" w:pos="9638"/>
        </w:tabs>
      </w:pPr>
    </w:p>
    <w:p w14:paraId="3B717364" w14:textId="77777777" w:rsidR="00D462C6" w:rsidRDefault="00D462C6">
      <w:pPr>
        <w:tabs>
          <w:tab w:val="right" w:pos="9638"/>
        </w:tabs>
      </w:pPr>
    </w:p>
    <w:p w14:paraId="0A64A616" w14:textId="77777777" w:rsidR="00D462C6" w:rsidRDefault="00D462C6">
      <w:pPr>
        <w:tabs>
          <w:tab w:val="right" w:pos="9638"/>
        </w:tabs>
      </w:pPr>
      <w:bookmarkStart w:id="0" w:name="_GoBack"/>
      <w:bookmarkEnd w:id="0"/>
    </w:p>
    <w:p w14:paraId="6C75B8D8" w14:textId="561D41C8" w:rsidR="000805A6" w:rsidRDefault="00D462C6">
      <w:pPr>
        <w:tabs>
          <w:tab w:val="right" w:pos="9638"/>
        </w:tabs>
        <w:rPr>
          <w:szCs w:val="24"/>
          <w:lang w:val="en-US" w:eastAsia="lt-LT"/>
        </w:rPr>
      </w:pPr>
      <w:proofErr w:type="spellStart"/>
      <w:r>
        <w:rPr>
          <w:szCs w:val="24"/>
          <w:lang w:val="en-US" w:eastAsia="lt-LT"/>
        </w:rPr>
        <w:t>Meras</w:t>
      </w:r>
      <w:proofErr w:type="spellEnd"/>
      <w:r>
        <w:rPr>
          <w:szCs w:val="24"/>
          <w:lang w:val="en-US" w:eastAsia="lt-LT"/>
        </w:rPr>
        <w:tab/>
      </w:r>
      <w:proofErr w:type="spellStart"/>
      <w:r>
        <w:rPr>
          <w:szCs w:val="24"/>
          <w:lang w:val="en-US" w:eastAsia="lt-LT"/>
        </w:rPr>
        <w:t>Artūras</w:t>
      </w:r>
      <w:proofErr w:type="spellEnd"/>
      <w:r>
        <w:rPr>
          <w:szCs w:val="24"/>
          <w:lang w:val="en-US" w:eastAsia="lt-LT"/>
        </w:rPr>
        <w:t xml:space="preserve"> </w:t>
      </w:r>
      <w:proofErr w:type="spellStart"/>
      <w:r>
        <w:rPr>
          <w:szCs w:val="24"/>
          <w:lang w:val="en-US" w:eastAsia="lt-LT"/>
        </w:rPr>
        <w:t>Zuokas</w:t>
      </w:r>
      <w:proofErr w:type="spellEnd"/>
    </w:p>
    <w:sectPr w:rsidR="000805A6">
      <w:headerReference w:type="even" r:id="rId27"/>
      <w:headerReference w:type="default" r:id="rId28"/>
      <w:footerReference w:type="even" r:id="rId29"/>
      <w:headerReference w:type="first" r:id="rId30"/>
      <w:footerReference w:type="first" r:id="rId31"/>
      <w:pgSz w:w="11906" w:h="16838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5B8DD" w14:textId="77777777" w:rsidR="000805A6" w:rsidRDefault="00D462C6">
      <w:pPr>
        <w:rPr>
          <w:sz w:val="20"/>
          <w:lang w:val="en-US" w:eastAsia="lt-LT"/>
        </w:rPr>
      </w:pPr>
      <w:r>
        <w:rPr>
          <w:sz w:val="20"/>
          <w:lang w:val="en-US" w:eastAsia="lt-LT"/>
        </w:rPr>
        <w:separator/>
      </w:r>
    </w:p>
  </w:endnote>
  <w:endnote w:type="continuationSeparator" w:id="0">
    <w:p w14:paraId="6C75B8DE" w14:textId="77777777" w:rsidR="000805A6" w:rsidRDefault="00D462C6">
      <w:pPr>
        <w:rPr>
          <w:sz w:val="20"/>
          <w:lang w:val="en-US" w:eastAsia="lt-LT"/>
        </w:rPr>
      </w:pPr>
      <w:r>
        <w:rPr>
          <w:sz w:val="20"/>
          <w:lang w:val="en-US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B8E1" w14:textId="77777777" w:rsidR="000805A6" w:rsidRDefault="000805A6">
    <w:pPr>
      <w:tabs>
        <w:tab w:val="center" w:pos="4819"/>
        <w:tab w:val="right" w:pos="9638"/>
      </w:tabs>
      <w:rPr>
        <w:sz w:val="20"/>
        <w:lang w:val="en-US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B8E4" w14:textId="77777777" w:rsidR="000805A6" w:rsidRDefault="000805A6">
    <w:pPr>
      <w:tabs>
        <w:tab w:val="center" w:pos="4819"/>
        <w:tab w:val="right" w:pos="9638"/>
      </w:tabs>
      <w:rPr>
        <w:sz w:val="20"/>
        <w:lang w:val="en-US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5B8DB" w14:textId="77777777" w:rsidR="000805A6" w:rsidRDefault="00D462C6">
      <w:pPr>
        <w:rPr>
          <w:sz w:val="20"/>
          <w:lang w:val="en-US" w:eastAsia="lt-LT"/>
        </w:rPr>
      </w:pPr>
      <w:r>
        <w:rPr>
          <w:sz w:val="20"/>
          <w:lang w:val="en-US" w:eastAsia="lt-LT"/>
        </w:rPr>
        <w:separator/>
      </w:r>
    </w:p>
  </w:footnote>
  <w:footnote w:type="continuationSeparator" w:id="0">
    <w:p w14:paraId="6C75B8DC" w14:textId="77777777" w:rsidR="000805A6" w:rsidRDefault="00D462C6">
      <w:pPr>
        <w:rPr>
          <w:sz w:val="20"/>
          <w:lang w:val="en-US" w:eastAsia="lt-LT"/>
        </w:rPr>
      </w:pPr>
      <w:r>
        <w:rPr>
          <w:sz w:val="20"/>
          <w:lang w:val="en-US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B8DF" w14:textId="77777777" w:rsidR="000805A6" w:rsidRDefault="000805A6">
    <w:pPr>
      <w:tabs>
        <w:tab w:val="center" w:pos="4819"/>
        <w:tab w:val="right" w:pos="9638"/>
      </w:tabs>
      <w:rPr>
        <w:sz w:val="20"/>
        <w:lang w:val="en-US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B8E0" w14:textId="77777777" w:rsidR="000805A6" w:rsidRDefault="000805A6">
    <w:pPr>
      <w:tabs>
        <w:tab w:val="center" w:pos="4819"/>
        <w:tab w:val="right" w:pos="9638"/>
      </w:tabs>
      <w:rPr>
        <w:sz w:val="20"/>
        <w:lang w:val="en-US" w:eastAsia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B8E3" w14:textId="77777777" w:rsidR="000805A6" w:rsidRDefault="000805A6">
    <w:pPr>
      <w:tabs>
        <w:tab w:val="center" w:pos="4819"/>
        <w:tab w:val="right" w:pos="9638"/>
      </w:tabs>
      <w:rPr>
        <w:sz w:val="20"/>
        <w:lang w:val="en-US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6"/>
    <w:rsid w:val="000805A6"/>
    <w:rsid w:val="00A02606"/>
    <w:rsid w:val="00D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6C75B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D462C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46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D462C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0AE4E66691A"/>
  <Relationship Id="rId11" Type="http://schemas.openxmlformats.org/officeDocument/2006/relationships/hyperlink" TargetMode="External" Target="https://www.e-tar.lt/portal/lt/legalAct/TAR.CF599A1A6DD5"/>
  <Relationship Id="rId12" Type="http://schemas.openxmlformats.org/officeDocument/2006/relationships/hyperlink" TargetMode="External" Target="https://www.e-tar.lt/portal/lt/legalAct/TAR.18F4EB30E002"/>
  <Relationship Id="rId13" Type="http://schemas.openxmlformats.org/officeDocument/2006/relationships/hyperlink" TargetMode="External" Target="https://www.e-tar.lt/portal/lt/legalAct/TAR.C30DB229877B"/>
  <Relationship Id="rId14" Type="http://schemas.openxmlformats.org/officeDocument/2006/relationships/hyperlink" TargetMode="External" Target="https://www.e-tar.lt/portal/lt/legalAct/TAR.E88921718FB6"/>
  <Relationship Id="rId15" Type="http://schemas.openxmlformats.org/officeDocument/2006/relationships/hyperlink" TargetMode="External" Target="https://www.e-tar.lt/portal/lt/legalAct/TAR.2CDF7CF05F4F"/>
  <Relationship Id="rId16" Type="http://schemas.openxmlformats.org/officeDocument/2006/relationships/hyperlink" TargetMode="External" Target="https://www.e-tar.lt/portal/lt/legalAct/TAR.D2EB5CBFF6C7"/>
  <Relationship Id="rId17" Type="http://schemas.openxmlformats.org/officeDocument/2006/relationships/hyperlink" TargetMode="External" Target="https://www.e-tar.lt/portal/lt/legalAct/TAR.07F97FC589FC"/>
  <Relationship Id="rId18" Type="http://schemas.openxmlformats.org/officeDocument/2006/relationships/hyperlink" TargetMode="External" Target="https://www.e-tar.lt/portal/lt/legalAct/TAR.0203AAF66FB8"/>
  <Relationship Id="rId19" Type="http://schemas.openxmlformats.org/officeDocument/2006/relationships/hyperlink" TargetMode="External" Target="https://www.e-tar.lt/portal/lt/legalAct/TAR.C73C61C14F4F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C9DC4FD96FC2"/>
  <Relationship Id="rId21" Type="http://schemas.openxmlformats.org/officeDocument/2006/relationships/hyperlink" TargetMode="External" Target="https://www.e-tar.lt/portal/lt/legalAct/TAR.C9124D89BCAE"/>
  <Relationship Id="rId22" Type="http://schemas.openxmlformats.org/officeDocument/2006/relationships/hyperlink" TargetMode="External" Target="https://www.e-tar.lt/portal/lt/legalAct/TAR.C25D9A4F670E"/>
  <Relationship Id="rId23" Type="http://schemas.openxmlformats.org/officeDocument/2006/relationships/hyperlink" TargetMode="External" Target="https://www.e-tar.lt/portal/lt/legalAct/TAR.E824F2E43701"/>
  <Relationship Id="rId24" Type="http://schemas.openxmlformats.org/officeDocument/2006/relationships/hyperlink" TargetMode="External" Target="https://www.e-tar.lt/portal/lt/legalAct/TAR.E7152F34B71F"/>
  <Relationship Id="rId25" Type="http://schemas.openxmlformats.org/officeDocument/2006/relationships/hyperlink" TargetMode="External" Target="https://www.e-tar.lt/portal/lt/legalAct/TAR.3E128DF8E4DE"/>
  <Relationship Id="rId26" Type="http://schemas.openxmlformats.org/officeDocument/2006/relationships/hyperlink" TargetMode="External" Target="https://www.e-tar.lt/portal/lt/legalAct/TAR.9ADB10F259E9"/>
  <Relationship Id="rId27" Type="http://schemas.openxmlformats.org/officeDocument/2006/relationships/header" Target="header1.xml"/>
  <Relationship Id="rId28" Type="http://schemas.openxmlformats.org/officeDocument/2006/relationships/header" Target="header2.xml"/>
  <Relationship Id="rId29" Type="http://schemas.openxmlformats.org/officeDocument/2006/relationships/footer" Target="footer1.xml"/>
  <Relationship Id="rId3" Type="http://schemas.microsoft.com/office/2007/relationships/stylesWithEffects" Target="stylesWithEffects.xml"/>
  <Relationship Id="rId30" Type="http://schemas.openxmlformats.org/officeDocument/2006/relationships/header" Target="header3.xml"/>
  <Relationship Id="rId31" Type="http://schemas.openxmlformats.org/officeDocument/2006/relationships/footer" Target="footer2.xml"/>
  <Relationship Id="rId32" Type="http://schemas.openxmlformats.org/officeDocument/2006/relationships/fontTable" Target="fontTable.xml"/>
  <Relationship Id="rId3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s://www.e-tar.lt/portal/lt/legalAct/TAR.D0CD0966D67F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TARYBOS 2011-11-23 SPRENDIMO NR. 1-326 „DĖL TVARKYMO IR ŠVAROS TAISYKLIŲ TVIRTINIMO“ PAKEITIMO</vt:lpstr>
      <vt:lpstr/>
    </vt:vector>
  </TitlesOfParts>
  <Manager>2013-10-16</Manager>
  <Company>VMSA</Company>
  <LinksUpToDate>false</LinksUpToDate>
  <CharactersWithSpaces>5152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SPRENDIMAS</category>
  <dcterms:created xsi:type="dcterms:W3CDTF">2015-07-29T03:32:00Z</dcterms:created>
  <dc:creator>VILNIAUS MIESTO SAVIVALDYBĖS TARYBA</dc:creator>
  <lastModifiedBy>ŠĖMYTĖ Giedrė</lastModifiedBy>
  <lastPrinted>2013-10-17T12:05:00Z</lastPrinted>
  <dcterms:modified xsi:type="dcterms:W3CDTF">2016-04-07T12:12:00Z</dcterms:modified>
  <revision>3</revision>
  <dc:subject>1-1502</dc:subject>
  <dc:title>DĖL TARYBOS 2011-11-23 SPRENDIMO NR. 1-326 „DĖL TVARKYMO IR ŠVAROS TAISYKLIŲ TVIRTINIMO“ PAKEITIMO</dc:title>
</coreProperties>
</file>