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47B3C" w14:textId="3E15E77F" w:rsidR="00A92264" w:rsidRDefault="00B60AFD" w:rsidP="00B60AFD">
      <w:pPr>
        <w:tabs>
          <w:tab w:val="center" w:pos="4153"/>
          <w:tab w:val="right" w:pos="8306"/>
        </w:tabs>
        <w:ind w:firstLine="567"/>
        <w:jc w:val="center"/>
        <w:rPr>
          <w:b/>
          <w:szCs w:val="24"/>
          <w:lang w:eastAsia="lt-LT"/>
        </w:rPr>
      </w:pPr>
      <w:r>
        <w:rPr>
          <w:b/>
          <w:noProof/>
          <w:szCs w:val="24"/>
          <w:lang w:eastAsia="lt-LT"/>
        </w:rPr>
        <w:drawing>
          <wp:inline distT="0" distB="0" distL="0" distR="0" wp14:anchorId="50247B6C" wp14:editId="50247B6D">
            <wp:extent cx="533400"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14:paraId="50247B3E" w14:textId="77777777" w:rsidR="00A92264" w:rsidRDefault="00B60AFD">
      <w:pPr>
        <w:jc w:val="center"/>
        <w:rPr>
          <w:b/>
          <w:szCs w:val="24"/>
        </w:rPr>
      </w:pPr>
      <w:r>
        <w:rPr>
          <w:b/>
          <w:szCs w:val="24"/>
        </w:rPr>
        <w:t>LIETUVOS RESPUBLIKOS</w:t>
      </w:r>
    </w:p>
    <w:p w14:paraId="50247B3F" w14:textId="77777777" w:rsidR="00A92264" w:rsidRDefault="00B60AFD">
      <w:pPr>
        <w:jc w:val="center"/>
        <w:rPr>
          <w:b/>
          <w:szCs w:val="24"/>
        </w:rPr>
      </w:pPr>
      <w:r>
        <w:rPr>
          <w:b/>
          <w:szCs w:val="24"/>
        </w:rPr>
        <w:t>PRIENŲ RAJONO SAVIVALDYBĖS TARYBA</w:t>
      </w:r>
    </w:p>
    <w:p w14:paraId="50247B40" w14:textId="77777777" w:rsidR="00A92264" w:rsidRDefault="00A92264">
      <w:pPr>
        <w:jc w:val="both"/>
        <w:rPr>
          <w:szCs w:val="24"/>
        </w:rPr>
      </w:pPr>
    </w:p>
    <w:p w14:paraId="50247B41" w14:textId="77777777" w:rsidR="00A92264" w:rsidRDefault="00B60AFD">
      <w:pPr>
        <w:keepNext/>
        <w:jc w:val="center"/>
        <w:outlineLvl w:val="1"/>
        <w:rPr>
          <w:b/>
          <w:caps/>
          <w:szCs w:val="24"/>
        </w:rPr>
      </w:pPr>
      <w:r>
        <w:rPr>
          <w:b/>
          <w:caps/>
          <w:szCs w:val="24"/>
        </w:rPr>
        <w:t>Sprendimas</w:t>
      </w:r>
    </w:p>
    <w:p w14:paraId="50247B42" w14:textId="110CAB14" w:rsidR="00A92264" w:rsidRDefault="00B60AFD">
      <w:pPr>
        <w:jc w:val="center"/>
        <w:rPr>
          <w:b/>
          <w:szCs w:val="24"/>
        </w:rPr>
      </w:pPr>
      <w:r>
        <w:rPr>
          <w:b/>
          <w:szCs w:val="24"/>
        </w:rPr>
        <w:t>DĖL PRIENŲ RAJONO SAVIVALDYBĖS TARYBOS 2008 M. KOVO 27 D. SPRENDIMO NR. T3-83 „DĖL VIETINĖS RINKLIAVOS UŽ KOMUNALINIŲ ATLIEKŲ SURINKIMĄ IŠ ATLIEKŲ TURĖTOJŲ IR ATLIEKŲ TVARKYMĄ NUOSTATŲ PATVIRTINIMO“</w:t>
      </w:r>
    </w:p>
    <w:p w14:paraId="50247B43" w14:textId="7B91523B" w:rsidR="00A92264" w:rsidRDefault="00B60AFD">
      <w:pPr>
        <w:jc w:val="center"/>
        <w:rPr>
          <w:b/>
          <w:szCs w:val="24"/>
        </w:rPr>
      </w:pPr>
      <w:r>
        <w:rPr>
          <w:b/>
          <w:szCs w:val="24"/>
        </w:rPr>
        <w:t>PAKEITIMO</w:t>
      </w:r>
    </w:p>
    <w:p w14:paraId="50247B44" w14:textId="77777777" w:rsidR="00A92264" w:rsidRDefault="00A92264">
      <w:pPr>
        <w:jc w:val="both"/>
        <w:rPr>
          <w:szCs w:val="24"/>
        </w:rPr>
      </w:pPr>
    </w:p>
    <w:p w14:paraId="50247B45" w14:textId="77777777" w:rsidR="00A92264" w:rsidRDefault="00B60AFD">
      <w:pPr>
        <w:jc w:val="center"/>
        <w:rPr>
          <w:szCs w:val="24"/>
        </w:rPr>
      </w:pPr>
      <w:r>
        <w:rPr>
          <w:szCs w:val="24"/>
        </w:rPr>
        <w:t>2010 m. gruodžio 23 d. Nr. T3-282</w:t>
      </w:r>
    </w:p>
    <w:p w14:paraId="50247B46" w14:textId="77777777" w:rsidR="00A92264" w:rsidRDefault="00B60AFD">
      <w:pPr>
        <w:jc w:val="center"/>
        <w:rPr>
          <w:szCs w:val="24"/>
        </w:rPr>
      </w:pPr>
      <w:r>
        <w:rPr>
          <w:szCs w:val="24"/>
        </w:rPr>
        <w:t>Prienai</w:t>
      </w:r>
    </w:p>
    <w:p w14:paraId="50247B47" w14:textId="77777777" w:rsidR="00A92264" w:rsidRDefault="00A92264">
      <w:pPr>
        <w:jc w:val="center"/>
        <w:rPr>
          <w:szCs w:val="24"/>
        </w:rPr>
      </w:pPr>
    </w:p>
    <w:p w14:paraId="6ED1A419" w14:textId="77777777" w:rsidR="00B60AFD" w:rsidRDefault="00B60AFD">
      <w:pPr>
        <w:jc w:val="center"/>
        <w:rPr>
          <w:szCs w:val="24"/>
        </w:rPr>
      </w:pPr>
    </w:p>
    <w:p w14:paraId="50247B48" w14:textId="77777777" w:rsidR="00A92264" w:rsidRDefault="00B60AFD">
      <w:pPr>
        <w:ind w:firstLine="709"/>
        <w:jc w:val="both"/>
        <w:rPr>
          <w:szCs w:val="24"/>
        </w:rPr>
      </w:pPr>
      <w:r>
        <w:rPr>
          <w:szCs w:val="24"/>
        </w:rPr>
        <w:t xml:space="preserve">Vadovaudamasi Lietuvos Respublikos vietos savivaldos įstatymo 6 straipsnio 2 punktu, Lietuvos Respublikos rinkliavų įstatymo 12 straipsniu, Prienų rajono savivaldybės taryba </w:t>
      </w:r>
    </w:p>
    <w:p w14:paraId="50247B49" w14:textId="77777777" w:rsidR="00A92264" w:rsidRDefault="00B60AFD">
      <w:pPr>
        <w:ind w:firstLine="709"/>
        <w:jc w:val="both"/>
        <w:rPr>
          <w:szCs w:val="24"/>
        </w:rPr>
      </w:pPr>
      <w:r>
        <w:rPr>
          <w:szCs w:val="24"/>
        </w:rPr>
        <w:t xml:space="preserve">n u s p r e n d ž i a: </w:t>
      </w:r>
    </w:p>
    <w:p w14:paraId="50247B4A" w14:textId="77777777" w:rsidR="00A92264" w:rsidRDefault="00194CB4">
      <w:pPr>
        <w:ind w:firstLine="709"/>
        <w:jc w:val="both"/>
        <w:rPr>
          <w:szCs w:val="24"/>
        </w:rPr>
      </w:pPr>
      <w:r w:rsidR="00B60AFD">
        <w:rPr>
          <w:szCs w:val="24"/>
        </w:rPr>
        <w:t>1</w:t>
      </w:r>
      <w:r w:rsidR="00B60AFD">
        <w:rPr>
          <w:szCs w:val="24"/>
        </w:rPr>
        <w:t>. Pakeisti Prienų rajono savivaldybės vietinės rinkliavos už komunalinių atliekų surinkimą iš atliekų turėtojų ir atliekų tvarkymą nuostatų, patvirtintų Prienų rajono savivaldybės tarybos 2008 m. kovo 27 d. sprendimu Nr. T3-83:</w:t>
      </w:r>
    </w:p>
    <w:p w14:paraId="50247B4B" w14:textId="77777777" w:rsidR="00A92264" w:rsidRDefault="00194CB4">
      <w:pPr>
        <w:ind w:firstLine="709"/>
        <w:jc w:val="both"/>
        <w:rPr>
          <w:szCs w:val="24"/>
        </w:rPr>
      </w:pPr>
      <w:r w:rsidR="00B60AFD">
        <w:rPr>
          <w:szCs w:val="24"/>
        </w:rPr>
        <w:t>1.1</w:t>
      </w:r>
      <w:r w:rsidR="00B60AFD">
        <w:rPr>
          <w:szCs w:val="24"/>
        </w:rPr>
        <w:t>. 14 punktą ir jį išdėstyti taip:</w:t>
      </w:r>
    </w:p>
    <w:p w14:paraId="50247B4C" w14:textId="77777777" w:rsidR="00A92264" w:rsidRDefault="00B60AFD">
      <w:pPr>
        <w:ind w:firstLine="709"/>
        <w:jc w:val="both"/>
        <w:rPr>
          <w:szCs w:val="24"/>
        </w:rPr>
      </w:pPr>
      <w:r>
        <w:rPr>
          <w:szCs w:val="24"/>
        </w:rPr>
        <w:t>„</w:t>
      </w:r>
      <w:r>
        <w:rPr>
          <w:szCs w:val="24"/>
        </w:rPr>
        <w:t>14</w:t>
      </w:r>
      <w:r>
        <w:rPr>
          <w:szCs w:val="24"/>
        </w:rPr>
        <w:t>. Registrą ARATC sukuria ir tvarko nustatyta tvarka naudodamasis Valstybinio socialinio draudimo fondo valdybos Prienų skyriaus, VĮ Registrų centro, Gyventojų registro, Mokesčių mokėtojų registro, Savivaldybės, kitų subjektų ir atliekų turėtojų – rinkliavos mokėtojų duomenimis dėl nekilnojamojo turto ploto/paskirties tikslinimo bei teikiamomis deklaracijomis, reikalingomis registrui ir vietinei rinkliavai administruoti.“</w:t>
      </w:r>
    </w:p>
    <w:p w14:paraId="50247B4D" w14:textId="77777777" w:rsidR="00A92264" w:rsidRDefault="00194CB4">
      <w:pPr>
        <w:ind w:firstLine="709"/>
        <w:jc w:val="both"/>
        <w:rPr>
          <w:szCs w:val="24"/>
        </w:rPr>
      </w:pPr>
      <w:r w:rsidR="00B60AFD">
        <w:rPr>
          <w:iCs/>
          <w:szCs w:val="24"/>
        </w:rPr>
        <w:t>1.2</w:t>
      </w:r>
      <w:r w:rsidR="00B60AFD">
        <w:rPr>
          <w:iCs/>
          <w:szCs w:val="24"/>
        </w:rPr>
        <w:t xml:space="preserve">. </w:t>
      </w:r>
      <w:r w:rsidR="00B60AFD">
        <w:rPr>
          <w:szCs w:val="24"/>
        </w:rPr>
        <w:t>17 punktą ir jį išdėstyti taip:</w:t>
      </w:r>
    </w:p>
    <w:p w14:paraId="50247B4E" w14:textId="77777777" w:rsidR="00A92264" w:rsidRDefault="00B60AFD">
      <w:pPr>
        <w:ind w:firstLine="709"/>
        <w:jc w:val="both"/>
        <w:rPr>
          <w:szCs w:val="24"/>
        </w:rPr>
      </w:pPr>
      <w:r>
        <w:rPr>
          <w:szCs w:val="24"/>
        </w:rPr>
        <w:t>„</w:t>
      </w:r>
      <w:r>
        <w:rPr>
          <w:szCs w:val="24"/>
        </w:rPr>
        <w:t>17</w:t>
      </w:r>
      <w:r>
        <w:rPr>
          <w:szCs w:val="24"/>
        </w:rPr>
        <w:t>. vietinės rinkliavos registro duomenis ARATC:</w:t>
      </w:r>
    </w:p>
    <w:p w14:paraId="50247B4F" w14:textId="77777777" w:rsidR="00A92264" w:rsidRDefault="00194CB4">
      <w:pPr>
        <w:suppressAutoHyphens/>
        <w:ind w:firstLine="709"/>
        <w:jc w:val="both"/>
        <w:rPr>
          <w:szCs w:val="24"/>
        </w:rPr>
      </w:pPr>
      <w:r w:rsidR="00B60AFD">
        <w:rPr>
          <w:szCs w:val="24"/>
        </w:rPr>
        <w:t>17.1</w:t>
      </w:r>
      <w:r w:rsidR="00B60AFD">
        <w:rPr>
          <w:szCs w:val="24"/>
        </w:rPr>
        <w:t>. parengia mokėjimo pranešimus apie apskaičiuotas nekilnojamojo turto objektų (išskyrus sodų, garažų, esančių bendrijose) mokėtinas vietinės rinkliavos įmokas už einamąjį ketvirtį, mokėjimo terminus, rinkliavos dydį bei iki kiekvieno ketvirčio antro mėnesio penkioliktos dienos pateikia kiekvienam vietinės rinkliavos mokėtojui;</w:t>
      </w:r>
    </w:p>
    <w:p w14:paraId="50247B50" w14:textId="77777777" w:rsidR="00A92264" w:rsidRDefault="00194CB4">
      <w:pPr>
        <w:ind w:firstLine="709"/>
        <w:jc w:val="both"/>
        <w:rPr>
          <w:iCs/>
          <w:szCs w:val="24"/>
        </w:rPr>
      </w:pPr>
      <w:r w:rsidR="00B60AFD">
        <w:rPr>
          <w:iCs/>
          <w:szCs w:val="24"/>
        </w:rPr>
        <w:t>17.2</w:t>
      </w:r>
      <w:r w:rsidR="00B60AFD">
        <w:rPr>
          <w:iCs/>
          <w:szCs w:val="24"/>
        </w:rPr>
        <w:t>. parengia mokėjimo pranešimus apie apskaičiuotas sodų, esančių sodų bendrijose, ir garažų, esančių garažų bendrijose, mokėtinas vietinės rinkliavos įmokas už visus kalendorinius metus bei nekilnojamojo turto savininkui įteikia iki pirmo ketvirčio penkioliktos dienos;</w:t>
      </w:r>
    </w:p>
    <w:bookmarkStart w:id="0" w:name="_GoBack" w:displacedByCustomXml="prev"/>
    <w:p w14:paraId="50247B51" w14:textId="77777777" w:rsidR="00A92264" w:rsidRDefault="00194CB4">
      <w:pPr>
        <w:ind w:firstLine="709"/>
        <w:jc w:val="both"/>
        <w:rPr>
          <w:iCs/>
          <w:szCs w:val="24"/>
        </w:rPr>
      </w:pPr>
      <w:r w:rsidR="00B60AFD">
        <w:rPr>
          <w:iCs/>
          <w:szCs w:val="24"/>
        </w:rPr>
        <w:t>17.3</w:t>
      </w:r>
      <w:r w:rsidR="00B60AFD">
        <w:rPr>
          <w:iCs/>
          <w:szCs w:val="24"/>
        </w:rPr>
        <w:t>. bankrutavusioms ir likviduotoms įmonėms bei įmonėms, laikinai sustabdžiusioms savo veiklą (iki veiklos sustabdymo sumokėjusioms mokesčius) ir kuriose jokia veikla nevykdoma, sugriuvusių pastatų savininkams, pagal Savivaldybės aktą, mokėjimų pranešimų nesiunčia ir jų susidariusias skolas pripažįsta beviltiškomis.“</w:t>
      </w:r>
    </w:p>
    <w:bookmarkEnd w:id="0" w:displacedByCustomXml="next"/>
    <w:p w14:paraId="50247B52" w14:textId="77777777" w:rsidR="00A92264" w:rsidRDefault="00194CB4">
      <w:pPr>
        <w:ind w:firstLine="709"/>
        <w:jc w:val="both"/>
        <w:rPr>
          <w:szCs w:val="24"/>
        </w:rPr>
      </w:pPr>
      <w:r w:rsidR="00B60AFD">
        <w:rPr>
          <w:iCs/>
          <w:szCs w:val="24"/>
        </w:rPr>
        <w:t>2</w:t>
      </w:r>
      <w:r w:rsidR="00B60AFD">
        <w:rPr>
          <w:iCs/>
          <w:szCs w:val="24"/>
        </w:rPr>
        <w:t xml:space="preserve">. </w:t>
      </w:r>
      <w:r w:rsidR="00B60AFD">
        <w:rPr>
          <w:szCs w:val="24"/>
        </w:rPr>
        <w:t>Pakeisti Prienų rajono savivaldybės vietinės rinkliavos už komunalinių atliekų surinkimą iš atliekų turėtojų ir atliekų tvarkymą nuostatų, patvirtintų Prienų rajono savivaldybės tarybos 2008 m. kovo 27 d. sprendimu Nr. T3-83, priedo 16 ir 17 punktus ir juos išdėstyti taip:</w:t>
      </w:r>
    </w:p>
    <w:p w14:paraId="50247B53" w14:textId="77777777" w:rsidR="00A92264" w:rsidRDefault="00A92264">
      <w:pPr>
        <w:jc w:val="both"/>
        <w:rPr>
          <w:szCs w:val="24"/>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410"/>
        <w:gridCol w:w="3544"/>
        <w:gridCol w:w="1646"/>
        <w:gridCol w:w="1614"/>
      </w:tblGrid>
      <w:tr w:rsidR="00A92264" w14:paraId="50247B5B" w14:textId="77777777">
        <w:trPr>
          <w:tblHeader/>
        </w:trPr>
        <w:tc>
          <w:tcPr>
            <w:tcW w:w="567" w:type="dxa"/>
            <w:tcBorders>
              <w:top w:val="single" w:sz="2" w:space="0" w:color="000000"/>
              <w:left w:val="single" w:sz="2" w:space="0" w:color="000000"/>
              <w:bottom w:val="single" w:sz="2" w:space="0" w:color="000000"/>
            </w:tcBorders>
          </w:tcPr>
          <w:p w14:paraId="50247B54" w14:textId="77777777" w:rsidR="00A92264" w:rsidRDefault="00B60AFD">
            <w:pPr>
              <w:suppressLineNumbers/>
              <w:suppressAutoHyphens/>
              <w:snapToGrid w:val="0"/>
              <w:jc w:val="center"/>
              <w:rPr>
                <w:sz w:val="22"/>
                <w:szCs w:val="22"/>
                <w:lang w:eastAsia="ar-SA"/>
              </w:rPr>
            </w:pPr>
            <w:r>
              <w:rPr>
                <w:sz w:val="22"/>
                <w:szCs w:val="22"/>
                <w:lang w:eastAsia="ar-SA"/>
              </w:rPr>
              <w:t>Eil. Nr.</w:t>
            </w:r>
          </w:p>
        </w:tc>
        <w:tc>
          <w:tcPr>
            <w:tcW w:w="2410" w:type="dxa"/>
            <w:tcBorders>
              <w:top w:val="single" w:sz="2" w:space="0" w:color="000000"/>
              <w:left w:val="single" w:sz="2" w:space="0" w:color="000000"/>
              <w:bottom w:val="single" w:sz="2" w:space="0" w:color="000000"/>
            </w:tcBorders>
          </w:tcPr>
          <w:p w14:paraId="50247B55" w14:textId="77777777" w:rsidR="00A92264" w:rsidRDefault="00B60AFD">
            <w:pPr>
              <w:suppressLineNumbers/>
              <w:suppressAutoHyphens/>
              <w:snapToGrid w:val="0"/>
              <w:rPr>
                <w:sz w:val="22"/>
                <w:szCs w:val="22"/>
                <w:lang w:eastAsia="ar-SA"/>
              </w:rPr>
            </w:pPr>
            <w:r>
              <w:rPr>
                <w:sz w:val="22"/>
                <w:szCs w:val="22"/>
                <w:lang w:eastAsia="ar-SA"/>
              </w:rPr>
              <w:t>Nekilnojamojo turto paskirtis</w:t>
            </w:r>
          </w:p>
        </w:tc>
        <w:tc>
          <w:tcPr>
            <w:tcW w:w="3544" w:type="dxa"/>
            <w:tcBorders>
              <w:top w:val="single" w:sz="2" w:space="0" w:color="000000"/>
              <w:left w:val="single" w:sz="2" w:space="0" w:color="000000"/>
              <w:bottom w:val="single" w:sz="2" w:space="0" w:color="000000"/>
            </w:tcBorders>
          </w:tcPr>
          <w:p w14:paraId="50247B56" w14:textId="77777777" w:rsidR="00A92264" w:rsidRDefault="00B60AFD">
            <w:pPr>
              <w:suppressLineNumbers/>
              <w:suppressAutoHyphens/>
              <w:snapToGrid w:val="0"/>
              <w:rPr>
                <w:sz w:val="22"/>
                <w:szCs w:val="22"/>
                <w:lang w:eastAsia="ar-SA"/>
              </w:rPr>
            </w:pPr>
            <w:r>
              <w:rPr>
                <w:sz w:val="22"/>
                <w:szCs w:val="22"/>
                <w:lang w:eastAsia="ar-SA"/>
              </w:rPr>
              <w:t>Paskirties apibūdinimas</w:t>
            </w:r>
          </w:p>
        </w:tc>
        <w:tc>
          <w:tcPr>
            <w:tcW w:w="1646" w:type="dxa"/>
            <w:tcBorders>
              <w:top w:val="single" w:sz="2" w:space="0" w:color="000000"/>
              <w:left w:val="single" w:sz="2" w:space="0" w:color="000000"/>
              <w:bottom w:val="single" w:sz="2" w:space="0" w:color="000000"/>
            </w:tcBorders>
          </w:tcPr>
          <w:p w14:paraId="50247B57" w14:textId="77777777" w:rsidR="00A92264" w:rsidRDefault="00B60AFD">
            <w:pPr>
              <w:suppressLineNumbers/>
              <w:suppressAutoHyphens/>
              <w:snapToGrid w:val="0"/>
              <w:rPr>
                <w:sz w:val="22"/>
                <w:szCs w:val="22"/>
                <w:lang w:eastAsia="ar-SA"/>
              </w:rPr>
            </w:pPr>
            <w:r>
              <w:rPr>
                <w:sz w:val="22"/>
                <w:szCs w:val="22"/>
                <w:lang w:eastAsia="ar-SA"/>
              </w:rPr>
              <w:t xml:space="preserve">Vietinės rinkliavos dydžio parametras </w:t>
            </w:r>
          </w:p>
        </w:tc>
        <w:tc>
          <w:tcPr>
            <w:tcW w:w="1614" w:type="dxa"/>
            <w:tcBorders>
              <w:top w:val="single" w:sz="2" w:space="0" w:color="000000"/>
              <w:left w:val="single" w:sz="2" w:space="0" w:color="000000"/>
              <w:bottom w:val="single" w:sz="2" w:space="0" w:color="000000"/>
              <w:right w:val="single" w:sz="2" w:space="0" w:color="000000"/>
            </w:tcBorders>
          </w:tcPr>
          <w:p w14:paraId="50247B58" w14:textId="77777777" w:rsidR="00A92264" w:rsidRDefault="00B60AFD">
            <w:pPr>
              <w:suppressLineNumbers/>
              <w:suppressAutoHyphens/>
              <w:snapToGrid w:val="0"/>
              <w:rPr>
                <w:sz w:val="22"/>
                <w:szCs w:val="22"/>
                <w:lang w:eastAsia="ar-SA"/>
              </w:rPr>
            </w:pPr>
            <w:r>
              <w:rPr>
                <w:sz w:val="22"/>
                <w:szCs w:val="22"/>
                <w:lang w:eastAsia="ar-SA"/>
              </w:rPr>
              <w:t>Rinkliavos dydis,</w:t>
            </w:r>
          </w:p>
          <w:p w14:paraId="50247B59" w14:textId="77777777" w:rsidR="00A92264" w:rsidRDefault="00B60AFD">
            <w:pPr>
              <w:suppressLineNumbers/>
              <w:suppressAutoHyphens/>
              <w:snapToGrid w:val="0"/>
              <w:rPr>
                <w:sz w:val="22"/>
                <w:szCs w:val="22"/>
                <w:lang w:eastAsia="ar-SA"/>
              </w:rPr>
            </w:pPr>
            <w:r>
              <w:rPr>
                <w:sz w:val="22"/>
                <w:szCs w:val="22"/>
                <w:lang w:eastAsia="ar-SA"/>
              </w:rPr>
              <w:t>Lt/mėn./</w:t>
            </w:r>
          </w:p>
          <w:p w14:paraId="50247B5A" w14:textId="77777777" w:rsidR="00A92264" w:rsidRDefault="00B60AFD">
            <w:pPr>
              <w:suppressLineNumbers/>
              <w:suppressAutoHyphens/>
              <w:snapToGrid w:val="0"/>
              <w:rPr>
                <w:sz w:val="22"/>
                <w:szCs w:val="22"/>
                <w:lang w:eastAsia="ar-SA"/>
              </w:rPr>
            </w:pPr>
            <w:r>
              <w:rPr>
                <w:sz w:val="22"/>
                <w:szCs w:val="22"/>
                <w:lang w:eastAsia="ar-SA"/>
              </w:rPr>
              <w:t xml:space="preserve">100 </w:t>
            </w:r>
            <w:r>
              <w:rPr>
                <w:bCs/>
                <w:iCs/>
                <w:sz w:val="22"/>
                <w:szCs w:val="22"/>
                <w:lang w:eastAsia="ar-SA"/>
              </w:rPr>
              <w:t>m</w:t>
            </w:r>
            <w:r>
              <w:rPr>
                <w:bCs/>
                <w:iCs/>
                <w:sz w:val="22"/>
                <w:szCs w:val="22"/>
                <w:vertAlign w:val="superscript"/>
                <w:lang w:eastAsia="ar-SA"/>
              </w:rPr>
              <w:t>2</w:t>
            </w:r>
          </w:p>
        </w:tc>
      </w:tr>
      <w:tr w:rsidR="00A92264" w14:paraId="50247B61" w14:textId="77777777">
        <w:tc>
          <w:tcPr>
            <w:tcW w:w="567" w:type="dxa"/>
            <w:tcBorders>
              <w:left w:val="single" w:sz="2" w:space="0" w:color="000000"/>
              <w:bottom w:val="single" w:sz="4" w:space="0" w:color="auto"/>
            </w:tcBorders>
          </w:tcPr>
          <w:p w14:paraId="50247B5C" w14:textId="77777777" w:rsidR="00A92264" w:rsidRDefault="00B60AFD">
            <w:pPr>
              <w:suppressLineNumbers/>
              <w:suppressAutoHyphens/>
              <w:snapToGrid w:val="0"/>
              <w:jc w:val="center"/>
              <w:rPr>
                <w:sz w:val="22"/>
                <w:szCs w:val="22"/>
                <w:lang w:eastAsia="ar-SA"/>
              </w:rPr>
            </w:pPr>
            <w:r>
              <w:rPr>
                <w:sz w:val="22"/>
                <w:szCs w:val="22"/>
                <w:lang w:eastAsia="ar-SA"/>
              </w:rPr>
              <w:t>16.</w:t>
            </w:r>
          </w:p>
        </w:tc>
        <w:tc>
          <w:tcPr>
            <w:tcW w:w="2410" w:type="dxa"/>
            <w:tcBorders>
              <w:left w:val="single" w:sz="2" w:space="0" w:color="000000"/>
              <w:bottom w:val="single" w:sz="4" w:space="0" w:color="auto"/>
            </w:tcBorders>
          </w:tcPr>
          <w:p w14:paraId="50247B5D" w14:textId="77777777" w:rsidR="00A92264" w:rsidRDefault="00B60AFD">
            <w:pPr>
              <w:suppressLineNumbers/>
              <w:suppressAutoHyphens/>
              <w:snapToGrid w:val="0"/>
              <w:rPr>
                <w:sz w:val="22"/>
                <w:szCs w:val="22"/>
                <w:lang w:eastAsia="ar-SA"/>
              </w:rPr>
            </w:pPr>
            <w:r>
              <w:rPr>
                <w:sz w:val="22"/>
                <w:szCs w:val="22"/>
                <w:lang w:eastAsia="ar-SA"/>
              </w:rPr>
              <w:t>Sodų paskirties valda su pastatais</w:t>
            </w:r>
          </w:p>
        </w:tc>
        <w:tc>
          <w:tcPr>
            <w:tcW w:w="3544" w:type="dxa"/>
            <w:tcBorders>
              <w:left w:val="single" w:sz="2" w:space="0" w:color="000000"/>
              <w:bottom w:val="single" w:sz="4" w:space="0" w:color="auto"/>
            </w:tcBorders>
          </w:tcPr>
          <w:p w14:paraId="50247B5E" w14:textId="77777777" w:rsidR="00A92264" w:rsidRDefault="00B60AFD">
            <w:pPr>
              <w:suppressLineNumbers/>
              <w:suppressAutoHyphens/>
              <w:snapToGrid w:val="0"/>
              <w:rPr>
                <w:sz w:val="22"/>
                <w:szCs w:val="22"/>
                <w:lang w:eastAsia="ar-SA"/>
              </w:rPr>
            </w:pPr>
            <w:r>
              <w:rPr>
                <w:sz w:val="22"/>
                <w:szCs w:val="22"/>
                <w:lang w:eastAsia="ar-SA"/>
              </w:rPr>
              <w:t>Sodų valda su pastatais, esanti bendrijoje</w:t>
            </w:r>
          </w:p>
        </w:tc>
        <w:tc>
          <w:tcPr>
            <w:tcW w:w="1646" w:type="dxa"/>
            <w:tcBorders>
              <w:left w:val="single" w:sz="2" w:space="0" w:color="000000"/>
              <w:bottom w:val="single" w:sz="4" w:space="0" w:color="auto"/>
            </w:tcBorders>
          </w:tcPr>
          <w:p w14:paraId="50247B5F" w14:textId="77777777" w:rsidR="00A92264" w:rsidRDefault="00B60AFD">
            <w:pPr>
              <w:ind w:firstLine="55"/>
              <w:jc w:val="both"/>
              <w:rPr>
                <w:sz w:val="22"/>
                <w:szCs w:val="22"/>
              </w:rPr>
            </w:pPr>
            <w:r>
              <w:rPr>
                <w:sz w:val="22"/>
                <w:szCs w:val="22"/>
              </w:rPr>
              <w:t>vnt.</w:t>
            </w:r>
          </w:p>
        </w:tc>
        <w:tc>
          <w:tcPr>
            <w:tcW w:w="1614" w:type="dxa"/>
            <w:tcBorders>
              <w:left w:val="single" w:sz="2" w:space="0" w:color="000000"/>
              <w:bottom w:val="single" w:sz="4" w:space="0" w:color="auto"/>
              <w:right w:val="single" w:sz="2" w:space="0" w:color="000000"/>
            </w:tcBorders>
          </w:tcPr>
          <w:p w14:paraId="50247B60" w14:textId="77777777" w:rsidR="00A92264" w:rsidRDefault="00B60AFD">
            <w:pPr>
              <w:suppressLineNumbers/>
              <w:suppressAutoHyphens/>
              <w:snapToGrid w:val="0"/>
              <w:jc w:val="both"/>
              <w:rPr>
                <w:sz w:val="22"/>
                <w:szCs w:val="22"/>
                <w:lang w:eastAsia="ar-SA"/>
              </w:rPr>
            </w:pPr>
            <w:r>
              <w:rPr>
                <w:sz w:val="22"/>
                <w:szCs w:val="22"/>
                <w:lang w:eastAsia="ar-SA"/>
              </w:rPr>
              <w:t>4,00</w:t>
            </w:r>
          </w:p>
        </w:tc>
      </w:tr>
      <w:tr w:rsidR="00A92264" w14:paraId="50247B67" w14:textId="77777777">
        <w:tc>
          <w:tcPr>
            <w:tcW w:w="567" w:type="dxa"/>
            <w:tcBorders>
              <w:top w:val="single" w:sz="4" w:space="0" w:color="auto"/>
              <w:left w:val="single" w:sz="2" w:space="0" w:color="000000"/>
              <w:bottom w:val="single" w:sz="4" w:space="0" w:color="auto"/>
              <w:right w:val="single" w:sz="2" w:space="0" w:color="000000"/>
            </w:tcBorders>
          </w:tcPr>
          <w:p w14:paraId="50247B62" w14:textId="77777777" w:rsidR="00A92264" w:rsidRDefault="00B60AFD">
            <w:pPr>
              <w:suppressLineNumbers/>
              <w:suppressAutoHyphens/>
              <w:snapToGrid w:val="0"/>
              <w:jc w:val="center"/>
              <w:rPr>
                <w:sz w:val="22"/>
                <w:szCs w:val="22"/>
                <w:lang w:eastAsia="ar-SA"/>
              </w:rPr>
            </w:pPr>
            <w:r>
              <w:rPr>
                <w:sz w:val="22"/>
                <w:szCs w:val="22"/>
                <w:lang w:eastAsia="ar-SA"/>
              </w:rPr>
              <w:lastRenderedPageBreak/>
              <w:t>17.</w:t>
            </w:r>
          </w:p>
        </w:tc>
        <w:tc>
          <w:tcPr>
            <w:tcW w:w="2410" w:type="dxa"/>
            <w:tcBorders>
              <w:top w:val="single" w:sz="4" w:space="0" w:color="auto"/>
              <w:left w:val="single" w:sz="2" w:space="0" w:color="000000"/>
              <w:bottom w:val="single" w:sz="4" w:space="0" w:color="auto"/>
              <w:right w:val="single" w:sz="2" w:space="0" w:color="000000"/>
            </w:tcBorders>
          </w:tcPr>
          <w:p w14:paraId="50247B63" w14:textId="77777777" w:rsidR="00A92264" w:rsidRDefault="00B60AFD">
            <w:pPr>
              <w:suppressLineNumbers/>
              <w:suppressAutoHyphens/>
              <w:snapToGrid w:val="0"/>
              <w:rPr>
                <w:sz w:val="22"/>
                <w:szCs w:val="22"/>
                <w:lang w:eastAsia="ar-SA"/>
              </w:rPr>
            </w:pPr>
            <w:r>
              <w:rPr>
                <w:sz w:val="22"/>
                <w:szCs w:val="22"/>
                <w:lang w:eastAsia="ar-SA"/>
              </w:rPr>
              <w:t>Garažų paskirties pastatai</w:t>
            </w:r>
          </w:p>
        </w:tc>
        <w:tc>
          <w:tcPr>
            <w:tcW w:w="3544" w:type="dxa"/>
            <w:tcBorders>
              <w:top w:val="single" w:sz="4" w:space="0" w:color="auto"/>
              <w:left w:val="single" w:sz="2" w:space="0" w:color="000000"/>
              <w:bottom w:val="single" w:sz="4" w:space="0" w:color="auto"/>
              <w:right w:val="single" w:sz="2" w:space="0" w:color="000000"/>
            </w:tcBorders>
          </w:tcPr>
          <w:p w14:paraId="50247B64" w14:textId="77777777" w:rsidR="00A92264" w:rsidRDefault="00B60AFD">
            <w:pPr>
              <w:suppressLineNumbers/>
              <w:suppressAutoHyphens/>
              <w:snapToGrid w:val="0"/>
              <w:jc w:val="both"/>
              <w:rPr>
                <w:sz w:val="22"/>
                <w:szCs w:val="22"/>
                <w:lang w:eastAsia="ar-SA"/>
              </w:rPr>
            </w:pPr>
            <w:r>
              <w:rPr>
                <w:sz w:val="22"/>
                <w:szCs w:val="22"/>
                <w:lang w:eastAsia="ar-SA"/>
              </w:rPr>
              <w:t>Garažai, esantys garažų bendrijose</w:t>
            </w:r>
          </w:p>
        </w:tc>
        <w:tc>
          <w:tcPr>
            <w:tcW w:w="1646" w:type="dxa"/>
            <w:tcBorders>
              <w:top w:val="single" w:sz="4" w:space="0" w:color="auto"/>
              <w:left w:val="single" w:sz="2" w:space="0" w:color="000000"/>
              <w:bottom w:val="single" w:sz="4" w:space="0" w:color="auto"/>
              <w:right w:val="single" w:sz="2" w:space="0" w:color="000000"/>
            </w:tcBorders>
          </w:tcPr>
          <w:p w14:paraId="50247B65" w14:textId="77777777" w:rsidR="00A92264" w:rsidRDefault="00B60AFD">
            <w:pPr>
              <w:ind w:firstLine="55"/>
              <w:jc w:val="both"/>
              <w:rPr>
                <w:sz w:val="22"/>
                <w:szCs w:val="22"/>
              </w:rPr>
            </w:pPr>
            <w:r>
              <w:rPr>
                <w:sz w:val="22"/>
                <w:szCs w:val="22"/>
              </w:rPr>
              <w:t>vnt.</w:t>
            </w:r>
          </w:p>
        </w:tc>
        <w:tc>
          <w:tcPr>
            <w:tcW w:w="1614" w:type="dxa"/>
            <w:tcBorders>
              <w:top w:val="single" w:sz="4" w:space="0" w:color="auto"/>
              <w:left w:val="single" w:sz="2" w:space="0" w:color="000000"/>
              <w:bottom w:val="single" w:sz="4" w:space="0" w:color="auto"/>
              <w:right w:val="single" w:sz="2" w:space="0" w:color="000000"/>
            </w:tcBorders>
          </w:tcPr>
          <w:p w14:paraId="50247B66" w14:textId="77777777" w:rsidR="00A92264" w:rsidRDefault="00B60AFD">
            <w:pPr>
              <w:suppressLineNumbers/>
              <w:suppressAutoHyphens/>
              <w:snapToGrid w:val="0"/>
              <w:jc w:val="both"/>
              <w:rPr>
                <w:sz w:val="22"/>
                <w:szCs w:val="22"/>
                <w:lang w:eastAsia="ar-SA"/>
              </w:rPr>
            </w:pPr>
            <w:r>
              <w:rPr>
                <w:sz w:val="22"/>
                <w:szCs w:val="22"/>
                <w:lang w:eastAsia="ar-SA"/>
              </w:rPr>
              <w:t>2,00</w:t>
            </w:r>
          </w:p>
        </w:tc>
      </w:tr>
    </w:tbl>
    <w:p w14:paraId="72780C74" w14:textId="77777777" w:rsidR="00B60AFD" w:rsidRDefault="00B60AFD">
      <w:pPr>
        <w:jc w:val="both"/>
        <w:rPr>
          <w:szCs w:val="24"/>
        </w:rPr>
      </w:pPr>
    </w:p>
    <w:p w14:paraId="50247B6A" w14:textId="77777777" w:rsidR="00A92264" w:rsidRDefault="00194CB4">
      <w:pPr>
        <w:jc w:val="both"/>
        <w:rPr>
          <w:szCs w:val="24"/>
        </w:rPr>
      </w:pPr>
    </w:p>
    <w:p w14:paraId="1F7F51F6" w14:textId="5FD81B80" w:rsidR="00B60AFD" w:rsidRDefault="00B60AFD">
      <w:pPr>
        <w:tabs>
          <w:tab w:val="left" w:pos="7371"/>
        </w:tabs>
        <w:jc w:val="both"/>
      </w:pPr>
    </w:p>
    <w:p w14:paraId="50247B6B" w14:textId="6EA3EA93" w:rsidR="00A92264" w:rsidRDefault="00B60AFD" w:rsidP="00B60AFD">
      <w:pPr>
        <w:tabs>
          <w:tab w:val="left" w:pos="7371"/>
        </w:tabs>
        <w:jc w:val="both"/>
        <w:rPr>
          <w:szCs w:val="24"/>
        </w:rPr>
      </w:pPr>
      <w:r>
        <w:rPr>
          <w:szCs w:val="24"/>
        </w:rPr>
        <w:t xml:space="preserve">Savivaldybės meras </w:t>
      </w:r>
      <w:r>
        <w:rPr>
          <w:szCs w:val="24"/>
        </w:rPr>
        <w:tab/>
        <w:t>Alvydas Vaicekauskas</w:t>
      </w:r>
    </w:p>
    <w:sectPr w:rsidR="00A92264">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cols w:space="1296"/>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47B70" w14:textId="77777777" w:rsidR="00A92264" w:rsidRDefault="00B60AFD">
      <w:pPr>
        <w:ind w:firstLine="567"/>
        <w:jc w:val="both"/>
        <w:rPr>
          <w:sz w:val="26"/>
        </w:rPr>
      </w:pPr>
      <w:r>
        <w:rPr>
          <w:sz w:val="26"/>
        </w:rPr>
        <w:separator/>
      </w:r>
    </w:p>
  </w:endnote>
  <w:endnote w:type="continuationSeparator" w:id="0">
    <w:p w14:paraId="50247B71" w14:textId="77777777" w:rsidR="00A92264" w:rsidRDefault="00B60AFD">
      <w:pPr>
        <w:ind w:firstLine="567"/>
        <w:jc w:val="both"/>
        <w:rPr>
          <w:sz w:val="26"/>
        </w:rPr>
      </w:pPr>
      <w:r>
        <w:rPr>
          <w:sz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7B75" w14:textId="77777777" w:rsidR="00A92264" w:rsidRDefault="00A92264">
    <w:pPr>
      <w:tabs>
        <w:tab w:val="center" w:pos="4153"/>
        <w:tab w:val="right" w:pos="8306"/>
      </w:tabs>
      <w:ind w:firstLine="567"/>
      <w:jc w:val="both"/>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7B76" w14:textId="77777777" w:rsidR="00A92264" w:rsidRDefault="00A92264">
    <w:pPr>
      <w:tabs>
        <w:tab w:val="center" w:pos="4153"/>
        <w:tab w:val="right" w:pos="8306"/>
      </w:tabs>
      <w:ind w:firstLine="567"/>
      <w:jc w:val="both"/>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7B78" w14:textId="77777777" w:rsidR="00A92264" w:rsidRDefault="00A92264">
    <w:pPr>
      <w:tabs>
        <w:tab w:val="center" w:pos="4153"/>
        <w:tab w:val="right" w:pos="8306"/>
      </w:tabs>
      <w:ind w:firstLine="567"/>
      <w:jc w:val="both"/>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47B6E" w14:textId="77777777" w:rsidR="00A92264" w:rsidRDefault="00B60AFD">
      <w:pPr>
        <w:ind w:firstLine="567"/>
        <w:jc w:val="both"/>
        <w:rPr>
          <w:sz w:val="26"/>
        </w:rPr>
      </w:pPr>
      <w:r>
        <w:rPr>
          <w:sz w:val="26"/>
        </w:rPr>
        <w:separator/>
      </w:r>
    </w:p>
  </w:footnote>
  <w:footnote w:type="continuationSeparator" w:id="0">
    <w:p w14:paraId="50247B6F" w14:textId="77777777" w:rsidR="00A92264" w:rsidRDefault="00B60AFD">
      <w:pPr>
        <w:ind w:firstLine="567"/>
        <w:jc w:val="both"/>
        <w:rPr>
          <w:sz w:val="26"/>
        </w:rPr>
      </w:pPr>
      <w:r>
        <w:rPr>
          <w:sz w:val="2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7B72" w14:textId="77777777" w:rsidR="00A92264" w:rsidRDefault="00B60AFD">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1</w:t>
    </w:r>
    <w:r>
      <w:rPr>
        <w:sz w:val="26"/>
      </w:rPr>
      <w:fldChar w:fldCharType="end"/>
    </w:r>
  </w:p>
  <w:p w14:paraId="50247B73" w14:textId="77777777" w:rsidR="00A92264" w:rsidRDefault="00A92264">
    <w:pPr>
      <w:tabs>
        <w:tab w:val="center" w:pos="4153"/>
        <w:tab w:val="right" w:pos="8306"/>
      </w:tabs>
      <w:ind w:firstLine="567"/>
      <w:jc w:val="both"/>
      <w:rPr>
        <w:sz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7B74" w14:textId="77777777" w:rsidR="00A92264" w:rsidRDefault="00A92264">
    <w:pPr>
      <w:tabs>
        <w:tab w:val="center" w:pos="4153"/>
        <w:tab w:val="right" w:pos="8306"/>
      </w:tabs>
      <w:ind w:firstLine="567"/>
      <w:jc w:val="both"/>
      <w:rPr>
        <w:sz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7B77" w14:textId="77777777" w:rsidR="00A92264" w:rsidRDefault="00A92264">
    <w:pPr>
      <w:tabs>
        <w:tab w:val="center" w:pos="4153"/>
        <w:tab w:val="right" w:pos="8306"/>
      </w:tabs>
      <w:ind w:firstLine="567"/>
      <w:jc w:val="both"/>
      <w:rPr>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80"/>
    <w:rsid w:val="00194CB4"/>
    <w:rsid w:val="00A92264"/>
    <w:rsid w:val="00B60AFD"/>
    <w:rsid w:val="00ED5B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024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60AFD"/>
    <w:rPr>
      <w:rFonts w:ascii="Tahoma" w:hAnsi="Tahoma" w:cs="Tahoma"/>
      <w:sz w:val="16"/>
      <w:szCs w:val="16"/>
    </w:rPr>
  </w:style>
  <w:style w:type="character" w:customStyle="1" w:styleId="DebesliotekstasDiagrama">
    <w:name w:val="Debesėlio tekstas Diagrama"/>
    <w:basedOn w:val="Numatytasispastraiposriftas"/>
    <w:link w:val="Debesliotekstas"/>
    <w:rsid w:val="00B60AFD"/>
    <w:rPr>
      <w:rFonts w:ascii="Tahoma" w:hAnsi="Tahoma" w:cs="Tahoma"/>
      <w:sz w:val="16"/>
      <w:szCs w:val="16"/>
    </w:rPr>
  </w:style>
  <w:style w:type="character" w:styleId="Vietosrezervavimoenklotekstas">
    <w:name w:val="Placeholder Text"/>
    <w:basedOn w:val="Numatytasispastraiposriftas"/>
    <w:rsid w:val="00B60A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60AFD"/>
    <w:rPr>
      <w:rFonts w:ascii="Tahoma" w:hAnsi="Tahoma" w:cs="Tahoma"/>
      <w:sz w:val="16"/>
      <w:szCs w:val="16"/>
    </w:rPr>
  </w:style>
  <w:style w:type="character" w:customStyle="1" w:styleId="DebesliotekstasDiagrama">
    <w:name w:val="Debesėlio tekstas Diagrama"/>
    <w:basedOn w:val="Numatytasispastraiposriftas"/>
    <w:link w:val="Debesliotekstas"/>
    <w:rsid w:val="00B60AFD"/>
    <w:rPr>
      <w:rFonts w:ascii="Tahoma" w:hAnsi="Tahoma" w:cs="Tahoma"/>
      <w:sz w:val="16"/>
      <w:szCs w:val="16"/>
    </w:rPr>
  </w:style>
  <w:style w:type="character" w:styleId="Vietosrezervavimoenklotekstas">
    <w:name w:val="Placeholder Text"/>
    <w:basedOn w:val="Numatytasispastraiposriftas"/>
    <w:rsid w:val="00B60A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1764">
      <w:marLeft w:val="0"/>
      <w:marRight w:val="0"/>
      <w:marTop w:val="0"/>
      <w:marBottom w:val="0"/>
      <w:divBdr>
        <w:top w:val="none" w:sz="0" w:space="0" w:color="auto"/>
        <w:left w:val="none" w:sz="0" w:space="0" w:color="auto"/>
        <w:bottom w:val="none" w:sz="0" w:space="0" w:color="auto"/>
        <w:right w:val="none" w:sz="0" w:space="0" w:color="auto"/>
      </w:divBdr>
    </w:div>
    <w:div w:id="453521765">
      <w:marLeft w:val="0"/>
      <w:marRight w:val="0"/>
      <w:marTop w:val="0"/>
      <w:marBottom w:val="0"/>
      <w:divBdr>
        <w:top w:val="none" w:sz="0" w:space="0" w:color="auto"/>
        <w:left w:val="none" w:sz="0" w:space="0" w:color="auto"/>
        <w:bottom w:val="none" w:sz="0" w:space="0" w:color="auto"/>
        <w:right w:val="none" w:sz="0" w:space="0" w:color="auto"/>
      </w:divBdr>
    </w:div>
    <w:div w:id="453521766">
      <w:marLeft w:val="0"/>
      <w:marRight w:val="0"/>
      <w:marTop w:val="0"/>
      <w:marBottom w:val="0"/>
      <w:divBdr>
        <w:top w:val="none" w:sz="0" w:space="0" w:color="auto"/>
        <w:left w:val="none" w:sz="0" w:space="0" w:color="auto"/>
        <w:bottom w:val="none" w:sz="0" w:space="0" w:color="auto"/>
        <w:right w:val="none" w:sz="0" w:space="0" w:color="auto"/>
      </w:divBdr>
    </w:div>
    <w:div w:id="453521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2545</Characters>
  <Application>Microsoft Office Word</Application>
  <DocSecurity>0</DocSecurity>
  <Lines>21</Lines>
  <Paragraphs>5</Paragraphs>
  <ScaleCrop>false</ScaleCrop>
  <Company/>
  <LinksUpToDate>false</LinksUpToDate>
  <CharactersWithSpaces>2904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2015-07-30T14:29:00Z</dcterms:created>
  <dc:creator>*</dc:creator>
  <lastModifiedBy>ŠĖMYTĖ Giedrė</lastModifiedBy>
  <lastPrinted>2011-01-14T06:52:00Z</lastPrinted>
  <dcterms:modified xsi:type="dcterms:W3CDTF">2015-11-02T11:19:00Z</dcterms:modified>
  <revision>4</revision>
  <dc:title>Adresatas</dc:title>
</coreProperties>
</file>