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2B53" w14:textId="77777777" w:rsidR="00873E91" w:rsidRDefault="00131E70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C212B6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BANKO VALDYBOS</w:t>
      </w:r>
    </w:p>
    <w:p w14:paraId="7C212B54" w14:textId="77777777" w:rsidR="00873E91" w:rsidRDefault="00131E70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NUTARIMAS</w:t>
      </w:r>
    </w:p>
    <w:p w14:paraId="7C212B55" w14:textId="77777777" w:rsidR="00873E91" w:rsidRDefault="00873E91">
      <w:pPr>
        <w:widowControl w:val="0"/>
        <w:suppressAutoHyphens/>
        <w:jc w:val="center"/>
        <w:rPr>
          <w:color w:val="000000"/>
        </w:rPr>
      </w:pPr>
    </w:p>
    <w:p w14:paraId="7C212B56" w14:textId="77777777" w:rsidR="00873E91" w:rsidRDefault="00131E70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BANKO VALDYBOS 1995 M. GRUODŽIO 21 D. NUTARIMO Nr. 125 „DĖL PASKOLŲ RIZIKOS DUOMENŲ BAZĖS TVARKYMO TAISYKLIŲ PATVIRTINIMO“ PAKEITIMO</w:t>
      </w:r>
    </w:p>
    <w:p w14:paraId="7C212B57" w14:textId="77777777" w:rsidR="00873E91" w:rsidRDefault="00873E91">
      <w:pPr>
        <w:widowControl w:val="0"/>
        <w:suppressAutoHyphens/>
        <w:jc w:val="center"/>
        <w:rPr>
          <w:color w:val="000000"/>
        </w:rPr>
      </w:pPr>
    </w:p>
    <w:p w14:paraId="7C212B58" w14:textId="77777777" w:rsidR="00873E91" w:rsidRDefault="00131E7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10 d. Nr. 03-179</w:t>
      </w:r>
    </w:p>
    <w:p w14:paraId="7C212B59" w14:textId="77777777" w:rsidR="00873E91" w:rsidRDefault="00131E7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</w:t>
      </w:r>
      <w:r>
        <w:rPr>
          <w:color w:val="000000"/>
        </w:rPr>
        <w:t>ius</w:t>
      </w:r>
    </w:p>
    <w:p w14:paraId="7C212B5A" w14:textId="77777777" w:rsidR="00873E91" w:rsidRDefault="00873E91">
      <w:pPr>
        <w:widowControl w:val="0"/>
        <w:suppressAutoHyphens/>
        <w:rPr>
          <w:color w:val="000000"/>
        </w:rPr>
      </w:pPr>
    </w:p>
    <w:p w14:paraId="33C8808D" w14:textId="77777777" w:rsidR="00131E70" w:rsidRDefault="00131E70">
      <w:pPr>
        <w:widowControl w:val="0"/>
        <w:suppressAutoHyphens/>
        <w:rPr>
          <w:color w:val="000000"/>
        </w:rPr>
      </w:pPr>
    </w:p>
    <w:bookmarkStart w:id="0" w:name="_GoBack" w:displacedByCustomXml="prev"/>
    <w:p w14:paraId="7C212B5B" w14:textId="77777777" w:rsidR="00873E91" w:rsidRDefault="00131E7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Lietuvos banko valdyba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bookmarkEnd w:id="0" w:displacedByCustomXml="next"/>
    <w:p w14:paraId="7C212B5C" w14:textId="77777777" w:rsidR="00873E91" w:rsidRDefault="00131E7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Pakeisti Lietuvos banko valdybos 1995 m. gruodžio 21 d. nutarimo Nr. 125 „Dėl Paskolų rizikos duomenų bazės tvarkymo taisyklių patvirtinimo“ (Žin., 1996, Nr. </w:t>
      </w:r>
      <w:hyperlink r:id="rId10" w:tgtFrame="_blank" w:history="1">
        <w:r>
          <w:rPr>
            <w:color w:val="0000FF" w:themeColor="hyperlink"/>
            <w:u w:val="single"/>
          </w:rPr>
          <w:t>2-63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55-2742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89-4749</w:t>
        </w:r>
      </w:hyperlink>
      <w:r>
        <w:rPr>
          <w:color w:val="000000"/>
        </w:rPr>
        <w:t>, Nr. 158-8087) 2.4 punktą ir jį išdė</w:t>
      </w:r>
      <w:r>
        <w:rPr>
          <w:color w:val="000000"/>
        </w:rPr>
        <w:t>styti taip:</w:t>
      </w:r>
    </w:p>
    <w:p w14:paraId="7C212B5D" w14:textId="77777777" w:rsidR="00873E91" w:rsidRDefault="00131E7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2.4</w:t>
      </w:r>
      <w:r>
        <w:rPr>
          <w:color w:val="000000"/>
        </w:rPr>
        <w:t>. šio nutarimo nuostatos Centrinei kredito unijai ir kredito unijoms taikomos nuo 2012 m. balandžio 2 dienos ir Taisyklėse nurodytą informaciją apie paskolos gavėjus bei jiems suteiktas paskolas į Paskolų rizikos duomenų bazę Centrinė kre</w:t>
      </w:r>
      <w:r>
        <w:rPr>
          <w:color w:val="000000"/>
        </w:rPr>
        <w:t>dito unija ir kredito unijos privalo pateikti per 3 mėnesius nuo nutarimo taikymo pradžios.“</w:t>
      </w:r>
    </w:p>
    <w:p w14:paraId="7C212B5E" w14:textId="77777777" w:rsidR="00873E91" w:rsidRDefault="00131E7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nurodytu nutarimu patvirtintas Paskolų rizikos duomenų bazės tvarkymo taisykles:</w:t>
      </w:r>
    </w:p>
    <w:p w14:paraId="7C212B5F" w14:textId="77777777" w:rsidR="00873E91" w:rsidRDefault="00131E7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Išdėstyti 23 punktą taip:</w:t>
      </w:r>
    </w:p>
    <w:p w14:paraId="7C212B60" w14:textId="77777777" w:rsidR="00873E91" w:rsidRDefault="00131E7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23</w:t>
      </w:r>
      <w:r>
        <w:rPr>
          <w:color w:val="000000"/>
        </w:rPr>
        <w:t>. Kredito įstaiga, prieš</w:t>
      </w:r>
      <w:r>
        <w:rPr>
          <w:color w:val="000000"/>
        </w:rPr>
        <w:t xml:space="preserve"> pradėdama tiesiogiai teikti ir gauti duomenis iš duomenų bazės, turi sudaryti su Lietuvos banku sutartį, kurioje būtų aptartos duomenų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teikimo ir gavimo sąlygos ir apmokėjimo tvarka. Jei kredito įstaiga duomenis planuoja teikti ir gauti netiesiogiai per d</w:t>
      </w:r>
      <w:r>
        <w:rPr>
          <w:color w:val="000000"/>
        </w:rPr>
        <w:t>uomenų perdavėją, tai duomenų perdavėjas turi su Lietuvos banku sudaryti sutartį, kurioje būtų aptartos kredito įstaigos duomenų teikimo ir gavimo per duomenų perdavėją sąlygos, apmokėjimo duomenų perdavėjui tvarka.“</w:t>
      </w:r>
    </w:p>
    <w:p w14:paraId="7C212B61" w14:textId="77777777" w:rsidR="00873E91" w:rsidRDefault="00131E7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Išdėstyti 27 punktą taip:</w:t>
      </w:r>
    </w:p>
    <w:p w14:paraId="7C212B62" w14:textId="77777777" w:rsidR="00873E91" w:rsidRDefault="00131E7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1"/>
        </w:rPr>
        <w:t>„</w:t>
      </w:r>
      <w:r>
        <w:rPr>
          <w:color w:val="000000"/>
          <w:spacing w:val="-1"/>
        </w:rPr>
        <w:t>27</w:t>
      </w:r>
      <w:r>
        <w:rPr>
          <w:color w:val="000000"/>
          <w:spacing w:val="-1"/>
        </w:rPr>
        <w:t>. Mėnesiui pasibaigus, Lietuvos bankas pateikia duomenų teikėjui arba duomenų perdavėjui naudojimosi duomenų baze protokolą, kurį iki mėnesio 20 d. duomenų teikėjo arba duomenų perdavėjo vadovas patvirtina ir grąžina Lietuvos bankui.“</w:t>
      </w:r>
    </w:p>
    <w:p w14:paraId="7C212B65" w14:textId="26F9591B" w:rsidR="00873E91" w:rsidRDefault="00131E70" w:rsidP="00131E70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Nus</w:t>
      </w:r>
      <w:r>
        <w:rPr>
          <w:color w:val="000000"/>
        </w:rPr>
        <w:t>tatyti, kad šis nutarimas įsigalioja 2011 m. lapkričio 28 dieną.</w:t>
      </w:r>
    </w:p>
    <w:p w14:paraId="45C03B1D" w14:textId="77777777" w:rsidR="00131E70" w:rsidRDefault="00131E70" w:rsidP="00131E7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05267EC" w14:textId="77777777" w:rsidR="00131E70" w:rsidRDefault="00131E70" w:rsidP="00131E7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469923D" w14:textId="77777777" w:rsidR="00131E70" w:rsidRDefault="00131E70" w:rsidP="00131E7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C212B68" w14:textId="7AA89469" w:rsidR="00873E91" w:rsidRDefault="00131E70" w:rsidP="00131E70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Valdybos pirmininkas </w:t>
      </w:r>
      <w:r>
        <w:rPr>
          <w:caps/>
          <w:color w:val="000000"/>
        </w:rPr>
        <w:tab/>
        <w:t>Vitas Vasiliauskas</w:t>
      </w:r>
    </w:p>
    <w:sectPr w:rsidR="00873E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12B6C" w14:textId="77777777" w:rsidR="00873E91" w:rsidRDefault="00131E70">
      <w:r>
        <w:separator/>
      </w:r>
    </w:p>
  </w:endnote>
  <w:endnote w:type="continuationSeparator" w:id="0">
    <w:p w14:paraId="7C212B6D" w14:textId="77777777" w:rsidR="00873E91" w:rsidRDefault="001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2B70" w14:textId="77777777" w:rsidR="00873E91" w:rsidRDefault="00873E91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2B71" w14:textId="77777777" w:rsidR="00873E91" w:rsidRDefault="00873E91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2B73" w14:textId="77777777" w:rsidR="00873E91" w:rsidRDefault="00873E9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12B6A" w14:textId="77777777" w:rsidR="00873E91" w:rsidRDefault="00131E70">
      <w:r>
        <w:separator/>
      </w:r>
    </w:p>
  </w:footnote>
  <w:footnote w:type="continuationSeparator" w:id="0">
    <w:p w14:paraId="7C212B6B" w14:textId="77777777" w:rsidR="00873E91" w:rsidRDefault="0013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2B6E" w14:textId="77777777" w:rsidR="00873E91" w:rsidRDefault="00873E9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2B6F" w14:textId="77777777" w:rsidR="00873E91" w:rsidRDefault="00873E9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2B72" w14:textId="77777777" w:rsidR="00873E91" w:rsidRDefault="00873E9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AB"/>
    <w:rsid w:val="00131E70"/>
    <w:rsid w:val="006105AB"/>
    <w:rsid w:val="008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12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31E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31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B4ACDDB46F7"/>
  <Relationship Id="rId11" Type="http://schemas.openxmlformats.org/officeDocument/2006/relationships/hyperlink" TargetMode="External" Target="https://www.e-tar.lt/portal/lt/legalAct/TAR.FBBEDB72550D"/>
  <Relationship Id="rId12" Type="http://schemas.openxmlformats.org/officeDocument/2006/relationships/hyperlink" TargetMode="External" Target="https://www.e-tar.lt/portal/lt/legalAct/TAR.3827A79471DA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A3"/>
    <w:rsid w:val="001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62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62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774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2126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2015-06-29T22:04:00Z</dcterms:created>
  <dc:creator>Sandra</dc:creator>
  <lastModifiedBy>PAVKŠTELO Julita</lastModifiedBy>
  <dcterms:modified xsi:type="dcterms:W3CDTF">2016-03-07T08:22:00Z</dcterms:modified>
  <revision>3</revision>
  <dc:title>LIETUVOS BANKO VALDYBOS</dc:title>
</coreProperties>
</file>