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SEIMO RINKIMŲ ĮSTATYMO 5</w:t>
      </w:r>
      <w:r>
        <w:rPr>
          <w:b/>
          <w:bCs/>
          <w:caps/>
          <w:color w:val="000000"/>
          <w:vertAlign w:val="superscript"/>
        </w:rPr>
        <w:t>1</w:t>
      </w:r>
      <w:r>
        <w:rPr>
          <w:b/>
          <w:bCs/>
          <w:caps/>
          <w:color w:val="000000"/>
        </w:rPr>
        <w:t xml:space="preserve">, 9, 10, 45 IR 93 STRAIPSNIŲ PAKEITIMO </w:t>
        <w:br/>
        <w:t>Į S T A T Y M A S</w:t>
      </w:r>
    </w:p>
    <w:p>
      <w:pPr>
        <w:widowControl w:val="0"/>
        <w:ind w:firstLine="567"/>
        <w:jc w:val="both"/>
        <w:rPr>
          <w:color w:val="000000"/>
        </w:rPr>
      </w:pPr>
    </w:p>
    <w:p>
      <w:pPr>
        <w:widowControl w:val="0"/>
        <w:jc w:val="center"/>
        <w:rPr>
          <w:color w:val="000000"/>
        </w:rPr>
      </w:pPr>
      <w:r>
        <w:rPr>
          <w:color w:val="000000"/>
        </w:rPr>
        <w:t xml:space="preserve">2012 m. lapkričio 6 d. Nr. XI-2338 </w:t>
      </w:r>
    </w:p>
    <w:p>
      <w:pPr>
        <w:widowControl w:val="0"/>
        <w:jc w:val="center"/>
        <w:rPr>
          <w:color w:val="000000"/>
        </w:rPr>
      </w:pPr>
      <w:r>
        <w:rPr>
          <w:color w:val="000000"/>
        </w:rPr>
        <w:t>Vilnius</w:t>
      </w:r>
    </w:p>
    <w:p>
      <w:pPr>
        <w:widowControl w:val="0"/>
        <w:ind w:firstLine="567"/>
        <w:jc w:val="both"/>
        <w:rPr>
          <w:color w:val="000000"/>
        </w:rPr>
      </w:pPr>
    </w:p>
    <w:p>
      <w:pPr>
        <w:widowControl w:val="0"/>
        <w:jc w:val="center"/>
        <w:rPr>
          <w:color w:val="000000"/>
        </w:rPr>
      </w:pPr>
      <w:r>
        <w:rPr>
          <w:color w:val="000000"/>
        </w:rPr>
        <w:t xml:space="preserve">(Žin., 1992, Nr. </w:t>
      </w:r>
      <w:fldSimple w:instr="HYPERLINK https://www.e-tar.lt/portal/lt/legalAct/TAR.06267D86738E \t _blank">
        <w:r>
          <w:rPr>
            <w:color w:val="0000FF" w:themeColor="hyperlink"/>
            <w:u w:val="single"/>
          </w:rPr>
          <w:t>22-635</w:t>
        </w:r>
      </w:fldSimple>
      <w:r>
        <w:rPr>
          <w:color w:val="000000"/>
        </w:rPr>
        <w:t xml:space="preserve">; 2000, Nr. </w:t>
      </w:r>
      <w:fldSimple w:instr="HYPERLINK https://www.e-tar.lt/portal/lt/legalAct/TAR.4ABCF67D0AD9 \t _blank">
        <w:r>
          <w:rPr>
            <w:color w:val="0000FF" w:themeColor="hyperlink"/>
            <w:u w:val="single"/>
          </w:rPr>
          <w:t>59-1760</w:t>
        </w:r>
      </w:fldSimple>
      <w:r>
        <w:rPr>
          <w:color w:val="000000"/>
        </w:rPr>
        <w:t xml:space="preserve">; 2002, Nr. </w:t>
      </w:r>
      <w:fldSimple w:instr="HYPERLINK https://www.e-tar.lt/portal/lt/legalAct/TAR.2B686219D4E5 \t _blank">
        <w:r>
          <w:rPr>
            <w:color w:val="0000FF" w:themeColor="hyperlink"/>
            <w:u w:val="single"/>
          </w:rPr>
          <w:t>68-2766</w:t>
        </w:r>
      </w:fldSimple>
      <w:r>
        <w:rPr>
          <w:color w:val="000000"/>
        </w:rPr>
        <w:t xml:space="preserve">; 2004, Nr. </w:t>
      </w:r>
      <w:fldSimple w:instr="HYPERLINK https://www.e-tar.lt/portal/lt/legalAct/TAR.ABC30B8B8422 \t _blank">
        <w:r>
          <w:rPr>
            <w:color w:val="0000FF" w:themeColor="hyperlink"/>
            <w:u w:val="single"/>
          </w:rPr>
          <w:t>83-2986</w:t>
        </w:r>
      </w:fldSimple>
      <w:r>
        <w:rPr>
          <w:color w:val="000000"/>
        </w:rPr>
        <w:t>;</w:t>
      </w:r>
    </w:p>
    <w:p>
      <w:pPr>
        <w:widowControl w:val="0"/>
        <w:jc w:val="center"/>
        <w:rPr>
          <w:color w:val="000000"/>
        </w:rPr>
      </w:pPr>
      <w:r>
        <w:rPr>
          <w:color w:val="000000"/>
        </w:rPr>
        <w:t>2005, Nr. 143-5171; 2008, Nr. 50-1839; 2010, Nr. 63-3093; 2012, Nr. 44-2148)</w:t>
      </w:r>
    </w:p>
    <w:p>
      <w:pPr>
        <w:widowControl w:val="0"/>
        <w:ind w:firstLine="567"/>
        <w:jc w:val="both"/>
      </w:pPr>
    </w:p>
    <w:p>
      <w:pPr>
        <w:widowControl w:val="0"/>
        <w:ind w:firstLine="567"/>
        <w:jc w:val="both"/>
        <w:rPr>
          <w:b/>
          <w:bCs/>
          <w:color w:val="000000"/>
        </w:rPr>
      </w:pPr>
      <w:r>
        <w:rPr>
          <w:b/>
          <w:bCs/>
          <w:color w:val="000000"/>
        </w:rPr>
        <w:t>1</w:t>
      </w:r>
      <w:r>
        <w:rPr>
          <w:b/>
          <w:bCs/>
          <w:color w:val="000000"/>
        </w:rPr>
        <w:t xml:space="preserve"> straipsnis. </w:t>
      </w:r>
      <w:r>
        <w:rPr>
          <w:b/>
          <w:bCs/>
          <w:color w:val="000000"/>
        </w:rPr>
        <w:t>5</w:t>
      </w:r>
      <w:r>
        <w:rPr>
          <w:b/>
          <w:bCs/>
          <w:color w:val="000000"/>
          <w:vertAlign w:val="superscript"/>
        </w:rPr>
        <w:t>1</w:t>
      </w:r>
      <w:r>
        <w:rPr>
          <w:b/>
          <w:bCs/>
          <w:color w:val="000000"/>
        </w:rPr>
        <w:t xml:space="preserve"> straipsnio 3 dalies pakeitimas</w:t>
      </w:r>
    </w:p>
    <w:p>
      <w:pPr>
        <w:widowControl w:val="0"/>
        <w:ind w:firstLine="567"/>
        <w:jc w:val="both"/>
        <w:rPr>
          <w:color w:val="000000"/>
        </w:rPr>
      </w:pPr>
      <w:r>
        <w:rPr>
          <w:color w:val="000000"/>
        </w:rPr>
        <w:t>5</w:t>
      </w:r>
      <w:r>
        <w:rPr>
          <w:color w:val="000000"/>
          <w:vertAlign w:val="superscript"/>
        </w:rPr>
        <w:t>1</w:t>
      </w:r>
      <w:r>
        <w:rPr>
          <w:color w:val="000000"/>
        </w:rPr>
        <w:t xml:space="preserve"> straipsnio 3 dalyje vietoj žodžių „interneto tinklalapyje“ įrašyti žodžius „savo interneto svetainėje“ ir šią dalį išdėstyti taip:</w:t>
      </w:r>
    </w:p>
    <w:p>
      <w:pPr>
        <w:widowControl w:val="0"/>
        <w:ind w:firstLine="567"/>
        <w:jc w:val="both"/>
        <w:rPr>
          <w:color w:val="000000"/>
        </w:rPr>
      </w:pPr>
      <w:r>
        <w:rPr>
          <w:color w:val="000000"/>
        </w:rPr>
        <w:t>„</w:t>
      </w:r>
      <w:r>
        <w:rPr>
          <w:color w:val="000000"/>
        </w:rPr>
        <w:t>3</w:t>
      </w:r>
      <w:r>
        <w:rPr>
          <w:color w:val="000000"/>
        </w:rPr>
        <w:t>. Rinkėjų ir rinkimų teisę turinčių asmenų papirkimo faktus tiria ir dėl jų sprendžia rinkimų komisijos Vyriausiosios rinkimų komisijos nustatyta tvarka. Apie nustatytą papirkimo faktą Vyriausioji rinkimų komisija paskelbia savo interneto svetainėje kartu su kandidato, pažeidusio šį straipsnį, pasižadėjimu laikytis draudimo papirkti rinkėjus ir rinkimų teisę turinčius asmenis. Rinkėjų ir rinkimų teisę turinčių asmenų papirkimo faktus pripažinus šiurkščiu šio įstatymo pažeidimu, atsiranda šiame ir kituose įstatymuose nustatytos pasekmės.“</w:t>
      </w:r>
    </w:p>
    <w:p>
      <w:pPr>
        <w:widowControl w:val="0"/>
        <w:ind w:firstLine="567"/>
        <w:jc w:val="both"/>
      </w:pPr>
    </w:p>
    <w:p>
      <w:pPr>
        <w:widowControl w:val="0"/>
        <w:ind w:firstLine="567"/>
        <w:jc w:val="both"/>
        <w:rPr>
          <w:b/>
          <w:bCs/>
          <w:color w:val="000000"/>
        </w:rPr>
      </w:pPr>
      <w:r>
        <w:rPr>
          <w:b/>
          <w:bCs/>
          <w:color w:val="000000"/>
        </w:rPr>
        <w:t>2</w:t>
      </w:r>
      <w:r>
        <w:rPr>
          <w:b/>
          <w:bCs/>
          <w:color w:val="000000"/>
        </w:rPr>
        <w:t xml:space="preserve"> straipsnis. </w:t>
      </w:r>
      <w:r>
        <w:rPr>
          <w:b/>
          <w:bCs/>
          <w:color w:val="000000"/>
        </w:rPr>
        <w:t>9 straipsnio 1 dalies pakeitimas</w:t>
      </w:r>
    </w:p>
    <w:p>
      <w:pPr>
        <w:widowControl w:val="0"/>
        <w:ind w:firstLine="567"/>
        <w:jc w:val="both"/>
        <w:rPr>
          <w:color w:val="000000"/>
        </w:rPr>
      </w:pPr>
      <w:r>
        <w:rPr>
          <w:color w:val="000000"/>
        </w:rPr>
        <w:t>9 straipsnio 1 dalyje vietoj žodžių „Valstybės žiniose“ įrašyti žodžius „savo interneto svetainėje“ ir šią dalį išdėstyti taip:</w:t>
      </w:r>
    </w:p>
    <w:p>
      <w:pPr>
        <w:widowControl w:val="0"/>
        <w:ind w:firstLine="567"/>
        <w:jc w:val="both"/>
        <w:rPr>
          <w:color w:val="000000"/>
        </w:rPr>
      </w:pPr>
      <w:r>
        <w:rPr>
          <w:color w:val="000000"/>
        </w:rPr>
        <w:t>„</w:t>
      </w:r>
      <w:r>
        <w:rPr>
          <w:color w:val="000000"/>
        </w:rPr>
        <w:t>1</w:t>
      </w:r>
      <w:r>
        <w:rPr>
          <w:color w:val="000000"/>
        </w:rPr>
        <w:t>. Rinkimams organizuoti ir vykdyti Lietuvos Respublikos teritorija dalijama į 71 vienmandatę rinkimų apygardą, atsižvelgiant į rinkėjų skaičių rinkimų apygardoje, Lietuvos Respublikos teritorijos suskirstymą į vienmandates rinkimų apygardas per ankstesnius Seimo rinkimus ir administracinį teritorinį padalijimą. Rinkimų apygarda sudaroma iš bendrą ribą turinčių rinkimų apylinkių. Rinkėjų skaičius apygardoje turi būti nuo 0,8 iki 1,2 vidutinio rinkėjų visose vienmandatėse rinkimų apygardose skaičiaus. Vyriausioji rinkimų komisija, likus ne mažiau kaip 95 dienoms iki rinkimų, nustato ir, likus ne mažiau kaip 90 dienų iki rinkimų, savo interneto svetainėje</w:t>
      </w:r>
      <w:r>
        <w:rPr>
          <w:b/>
          <w:bCs/>
          <w:color w:val="000000"/>
        </w:rPr>
        <w:t xml:space="preserve"> </w:t>
      </w:r>
      <w:r>
        <w:rPr>
          <w:color w:val="000000"/>
        </w:rPr>
        <w:t>skelbia rinkimų apygardas sudarančių rinkimų apylinkių sąrašą, jų balsavimo būstinių adresus ir telefonus, apygardos rinkėjų skaičių, apygardų rinkimų komisijų adresus ir telefonus.“</w:t>
      </w:r>
    </w:p>
    <w:p>
      <w:pPr>
        <w:widowControl w:val="0"/>
        <w:ind w:firstLine="567"/>
        <w:jc w:val="both"/>
      </w:pPr>
    </w:p>
    <w:p>
      <w:pPr>
        <w:widowControl w:val="0"/>
        <w:ind w:firstLine="567"/>
        <w:jc w:val="both"/>
        <w:rPr>
          <w:b/>
          <w:bCs/>
          <w:color w:val="000000"/>
        </w:rPr>
      </w:pPr>
      <w:r>
        <w:rPr>
          <w:b/>
          <w:bCs/>
          <w:color w:val="000000"/>
        </w:rPr>
        <w:t>3</w:t>
      </w:r>
      <w:r>
        <w:rPr>
          <w:b/>
          <w:bCs/>
          <w:color w:val="000000"/>
        </w:rPr>
        <w:t xml:space="preserve"> straipsnis. </w:t>
      </w:r>
      <w:r>
        <w:rPr>
          <w:b/>
          <w:bCs/>
          <w:color w:val="000000"/>
        </w:rPr>
        <w:t>10 straipsnio 2 dalies pakeitimas</w:t>
      </w:r>
    </w:p>
    <w:p>
      <w:pPr>
        <w:widowControl w:val="0"/>
        <w:ind w:firstLine="567"/>
        <w:jc w:val="both"/>
        <w:rPr>
          <w:color w:val="000000"/>
        </w:rPr>
      </w:pPr>
      <w:r>
        <w:rPr>
          <w:color w:val="000000"/>
        </w:rPr>
        <w:t>10 straipsnio 2 dalyje vietoj žodžių „Valstybės žiniose“ įrašyti žodžius „savo interneto svetainėje“ ir šią dalį išdėstyti taip:</w:t>
      </w:r>
    </w:p>
    <w:p>
      <w:pPr>
        <w:widowControl w:val="0"/>
        <w:ind w:firstLine="567"/>
        <w:jc w:val="both"/>
        <w:rPr>
          <w:color w:val="000000"/>
        </w:rPr>
      </w:pPr>
      <w:r>
        <w:rPr>
          <w:color w:val="000000"/>
        </w:rPr>
        <w:t>„</w:t>
      </w:r>
      <w:r>
        <w:rPr>
          <w:color w:val="000000"/>
        </w:rPr>
        <w:t>2</w:t>
      </w:r>
      <w:r>
        <w:rPr>
          <w:color w:val="000000"/>
        </w:rPr>
        <w:t>. Miesto, rajono teritorijos suskirstymą, kuris yra pastovus organizuojant ir vykdant rinkimus ir referendumus, prireikus į rinkimų apylinkes mero teikimu keičia Vyriausioji rinkimų komisija. Patvirtintų rinkimų apylinkių sąrašą, jo pakeitimus Vyriausioji rinkimų komisija skelbia savo interneto svetainėje.“</w:t>
      </w:r>
    </w:p>
    <w:p>
      <w:pPr>
        <w:widowControl w:val="0"/>
        <w:ind w:firstLine="567"/>
        <w:jc w:val="both"/>
      </w:pPr>
    </w:p>
    <w:p>
      <w:pPr>
        <w:widowControl w:val="0"/>
        <w:ind w:firstLine="567"/>
        <w:jc w:val="both"/>
        <w:rPr>
          <w:b/>
          <w:bCs/>
          <w:color w:val="000000"/>
        </w:rPr>
      </w:pPr>
      <w:r>
        <w:rPr>
          <w:b/>
          <w:bCs/>
          <w:color w:val="000000"/>
        </w:rPr>
        <w:t>4</w:t>
      </w:r>
      <w:r>
        <w:rPr>
          <w:b/>
          <w:bCs/>
          <w:color w:val="000000"/>
        </w:rPr>
        <w:t xml:space="preserve"> straipsnis. </w:t>
      </w:r>
      <w:r>
        <w:rPr>
          <w:b/>
          <w:bCs/>
          <w:color w:val="000000"/>
        </w:rPr>
        <w:t>45 straipsnio pakeitimas</w:t>
      </w:r>
    </w:p>
    <w:p>
      <w:pPr>
        <w:widowControl w:val="0"/>
        <w:ind w:firstLine="567"/>
        <w:jc w:val="both"/>
        <w:rPr>
          <w:color w:val="000000"/>
        </w:rPr>
      </w:pPr>
      <w:r>
        <w:rPr>
          <w:color w:val="000000"/>
        </w:rPr>
        <w:t>45 straipsnyje vietoj žodžių „Valstybės žiniose“ įrašyti žodžius „savo interneto svetainėje“ ir šį straipsnį išdėstyti taip:</w:t>
      </w:r>
    </w:p>
    <w:p>
      <w:pPr>
        <w:widowControl w:val="0"/>
        <w:ind w:firstLine="567"/>
        <w:jc w:val="both"/>
      </w:pPr>
    </w:p>
    <w:p>
      <w:pPr>
        <w:widowControl w:val="0"/>
        <w:ind w:firstLine="567"/>
        <w:rPr>
          <w:b/>
          <w:bCs/>
          <w:color w:val="000000"/>
        </w:rPr>
      </w:pPr>
      <w:r>
        <w:rPr>
          <w:color w:val="000000"/>
        </w:rPr>
        <w:t>„</w:t>
      </w:r>
      <w:r>
        <w:rPr>
          <w:b/>
          <w:bCs/>
          <w:color w:val="000000"/>
        </w:rPr>
        <w:t>45</w:t>
      </w:r>
      <w:r>
        <w:rPr>
          <w:b/>
          <w:bCs/>
          <w:color w:val="000000"/>
        </w:rPr>
        <w:t xml:space="preserve"> straipsnis. </w:t>
      </w:r>
      <w:r>
        <w:rPr>
          <w:b/>
          <w:bCs/>
          <w:color w:val="000000"/>
        </w:rPr>
        <w:t>Kandidatų ir kandidatų sąrašų paskelbimas</w:t>
      </w:r>
    </w:p>
    <w:p>
      <w:pPr>
        <w:widowControl w:val="0"/>
        <w:ind w:firstLine="567"/>
        <w:jc w:val="both"/>
        <w:rPr>
          <w:color w:val="000000"/>
        </w:rPr>
      </w:pPr>
      <w:r>
        <w:rPr>
          <w:color w:val="000000"/>
        </w:rPr>
        <w:t>Likus ne mažiau kaip 30 dienų iki rinkimų, Vyriausioji rinkimų komisija savo interneto svetainėje paskelbia rinkimuose dalyvaujančių partijų ir koalicijų kandidatų sąrašus, kandidatų sąrašams burtais suteiktus rinkimų numerius, šių sąrašų kandidatų rinkimų numerius, taip pat vienmandatėse rinkimų apygardose iškeltus kandidatus. Vyriausioji rinkimų komisija kandidatų į Seimo narius pažymėjimus su juose įrašytais kandidatų rinkimų numeriais perduoda atstovui rinkimams. Kandidato rinkimų numeris jo suteikimo metu yra tapatus kandidato eilės numeriui keliamų kandidatų sąraše (jungtiniame sąraše). Suteiktas kandidato rinkimų numeris negali būti keičiamas iki rinkimų rezultatų paskelbimo.“</w:t>
      </w:r>
    </w:p>
    <w:p>
      <w:pPr>
        <w:widowControl w:val="0"/>
        <w:ind w:firstLine="567"/>
        <w:jc w:val="both"/>
      </w:pPr>
    </w:p>
    <w:p>
      <w:pPr>
        <w:widowControl w:val="0"/>
        <w:ind w:firstLine="567"/>
        <w:jc w:val="both"/>
        <w:rPr>
          <w:b/>
          <w:bCs/>
          <w:color w:val="000000"/>
        </w:rPr>
      </w:pPr>
      <w:r>
        <w:rPr>
          <w:b/>
          <w:bCs/>
          <w:color w:val="000000"/>
        </w:rPr>
        <w:t>5</w:t>
      </w:r>
      <w:r>
        <w:rPr>
          <w:b/>
          <w:bCs/>
          <w:color w:val="000000"/>
        </w:rPr>
        <w:t xml:space="preserve"> straipsnis. </w:t>
      </w:r>
      <w:r>
        <w:rPr>
          <w:b/>
          <w:bCs/>
          <w:color w:val="000000"/>
        </w:rPr>
        <w:t>93 straipsnio 2 dalies pakeitimas</w:t>
      </w:r>
    </w:p>
    <w:p>
      <w:pPr>
        <w:widowControl w:val="0"/>
        <w:ind w:firstLine="567"/>
        <w:jc w:val="both"/>
        <w:rPr>
          <w:color w:val="000000"/>
        </w:rPr>
      </w:pPr>
      <w:r>
        <w:rPr>
          <w:color w:val="000000"/>
        </w:rPr>
        <w:t>93 straipsnio 2 dalyje vietoj žodžių „pirmiausia paskelbia internete ir artimiausiame „Valstybės žinių“ numeryje“ įrašyti žodžius „skelbia savo interneto svetainėje“ ir šią dalį išdėstyti taip:</w:t>
      </w:r>
    </w:p>
    <w:p>
      <w:pPr>
        <w:widowControl w:val="0"/>
        <w:ind w:firstLine="567"/>
        <w:jc w:val="both"/>
        <w:rPr>
          <w:color w:val="000000"/>
        </w:rPr>
      </w:pPr>
      <w:r>
        <w:rPr>
          <w:color w:val="000000"/>
        </w:rPr>
        <w:t>„</w:t>
      </w:r>
      <w:r>
        <w:rPr>
          <w:color w:val="000000"/>
        </w:rPr>
        <w:t>2</w:t>
      </w:r>
      <w:r>
        <w:rPr>
          <w:color w:val="000000"/>
        </w:rPr>
        <w:t>. Galutinius rinkimų rezultatus ne vėliau kaip per 7 dienas nuo rinkimų arba pakartotinio balsavimo skelbia Vyriausioji rinkimų komisija. Jei renkant naują Seimą yra rengiamas pakartotinis balsavimas, galutiniai rinkimų daugiamandatėje rinkimų apygardoje rezultatai skelbiami kartu su</w:t>
      </w:r>
      <w:r>
        <w:rPr>
          <w:b/>
          <w:bCs/>
          <w:color w:val="000000"/>
        </w:rPr>
        <w:t xml:space="preserve"> </w:t>
      </w:r>
      <w:r>
        <w:rPr>
          <w:color w:val="000000"/>
        </w:rPr>
        <w:t>pakartotinio balsavimo rezultatais. Galutinius rinkimų rezultatus Vyriausioji rinkimų komisija skelbia savo interneto svetainėje.“</w:t>
      </w:r>
    </w:p>
    <w:p>
      <w:pPr>
        <w:widowControl w:val="0"/>
        <w:ind w:firstLine="567"/>
        <w:jc w:val="both"/>
      </w:pPr>
    </w:p>
    <w:p>
      <w:pPr>
        <w:widowControl w:val="0"/>
        <w:ind w:firstLine="567"/>
        <w:jc w:val="both"/>
        <w:rPr>
          <w:b/>
          <w:bCs/>
          <w:color w:val="000000"/>
        </w:rPr>
      </w:pPr>
      <w:r>
        <w:rPr>
          <w:b/>
          <w:bCs/>
          <w:color w:val="000000"/>
        </w:rPr>
        <w:t>6</w:t>
      </w:r>
      <w:r>
        <w:rPr>
          <w:b/>
          <w:bCs/>
          <w:color w:val="000000"/>
        </w:rPr>
        <w:t xml:space="preserve"> straipsnis. </w:t>
      </w:r>
      <w:r>
        <w:rPr>
          <w:b/>
          <w:bCs/>
          <w:color w:val="000000"/>
        </w:rPr>
        <w:t>Įstatymo įsigaliojimas</w:t>
      </w:r>
    </w:p>
    <w:p>
      <w:pPr>
        <w:widowControl w:val="0"/>
        <w:ind w:firstLine="567"/>
        <w:jc w:val="both"/>
        <w:rPr>
          <w:color w:val="000000"/>
        </w:rPr>
      </w:pPr>
      <w:r>
        <w:rPr>
          <w:color w:val="000000"/>
        </w:rPr>
        <w:t>Šis įstatymas įsigalioja 2014 m. sausio 1 d.</w:t>
      </w:r>
    </w:p>
    <w:p>
      <w:pPr>
        <w:widowControl w:val="0"/>
        <w:ind w:firstLine="567"/>
        <w:jc w:val="both"/>
        <w:rPr>
          <w:color w:val="000000"/>
        </w:rPr>
      </w:pPr>
    </w:p>
    <w:p>
      <w:pPr>
        <w:widowControl w:val="0"/>
        <w:ind w:firstLine="567"/>
        <w:jc w:val="both"/>
        <w:rPr>
          <w:i/>
          <w:iCs/>
          <w:color w:val="000000"/>
        </w:rPr>
      </w:pPr>
      <w:r>
        <w:rPr>
          <w:i/>
          <w:iCs/>
          <w:color w:val="000000"/>
        </w:rPr>
        <w:t>Skelbiu šį Lietuvos Respublikos Seimo priimtą įstatymą.</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RESPUBLIKOS PREZIDENTĖ</w:t>
        <w:tab/>
        <w:t>DALIA GRYBAUSKAITĖ</w:t>
      </w:r>
    </w:p>
    <w:p>
      <w:pPr>
        <w:widowControl w:val="0"/>
        <w:ind w:firstLine="567"/>
        <w:jc w:val="both"/>
        <w:rPr>
          <w:color w:val="000000"/>
        </w:rPr>
      </w:pPr>
    </w:p>
    <w:p>
      <w:pPr>
        <w:widowControl w:val="0"/>
        <w:jc w:val="center"/>
        <w:rPr>
          <w:color w:val="000000"/>
        </w:rPr>
      </w:pPr>
      <w:r>
        <w:rPr>
          <w:color w:val="000000"/>
        </w:rPr>
        <w:t>_________________</w:t>
      </w:r>
    </w:p>
    <w:p>
      <w:pPr>
        <w:widowControl w:val="0"/>
        <w:ind w:firstLine="567"/>
        <w:jc w:val="both"/>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3772</Characters>
  <Application>Microsoft Office Word</Application>
  <DocSecurity>4</DocSecurity>
  <Lines>78</Lines>
  <Paragraphs>29</Paragraphs>
  <ScaleCrop>false</ScaleCrop>
  <Company/>
  <LinksUpToDate>false</LinksUpToDate>
  <CharactersWithSpaces>4304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2015-10-14T10:22:00Z</dcterms:created>
  <dc:creator>Rima</dc:creator>
  <lastModifiedBy>Adlib User</lastModifiedBy>
  <dcterms:modified xsi:type="dcterms:W3CDTF">2015-10-14T10:22:00Z</dcterms:modified>
  <revision>2</revision>
  <dc:title>LIETUVOS RESPUBLIKOS SEIMO RINKIMŲ ĮSTATYMO 51, 9, 10, 45 IR 93 STRAIPSNIŲ PAKEITIMO ĮSTATYMAS</dc:title>
</coreProperties>
</file>