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ŽEMĖS REFORMOS ĮSTATYMO 6 STRAIPSNIO PAPILDYMO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1991 m. gruodžio 20 d. Nr. I-2138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Aukščiausioji Taryba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Padaryti Lietuvos Respublikos žemės reformos įstatymo (Žin., 1991, Nr. </w:t>
      </w:r>
      <w:fldSimple w:instr="HYPERLINK https://www.e-tar.lt/portal/lt/legalAct/TAR.075D49C59279 \t _blank">
        <w:r>
          <w:rPr>
            <w:color w:val="0000FF" w:themeColor="hyperlink"/>
            <w:u w:val="single"/>
          </w:rPr>
          <w:t>24-635</w:t>
        </w:r>
      </w:fldSimple>
      <w:r>
        <w:rPr>
          <w:color w:val="000000"/>
        </w:rPr>
        <w:t>) 6 straipsnyje šiuos pakeitimus: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2 punktą papildyti trečiąja dalimi: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„Asmenims, kurių šeimos buvo įkeldintos į Lietuvos Respublikos teritoriją iš nuosavybės teise turėtų ūkių Lenkijos ir Prūsijos (dabartinė Kaliningrado sritis) teritorijose, žemė suteikiama neatlygintinai pagal Lietuvos Respublikos įstatymo „Dėl piliečių nuosavybės teisių į išlikusį nekilnojamąjį turtą atstatymo tvarkos ir sąlygų“ 2 ir 4 straipsnius.“;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2 punkto trečiąją dalį laikyti ketvirtąja dalimi.</w:t>
      </w:r>
    </w:p>
    <w:p>
      <w:pPr>
        <w:ind w:firstLine="708"/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tabs>
          <w:tab w:val="right" w:pos="9639"/>
        </w:tabs>
      </w:pPr>
      <w:r>
        <w:t>LIETUVOS RESPUBLIKOS</w:t>
      </w:r>
    </w:p>
    <w:p>
      <w:pPr>
        <w:tabs>
          <w:tab w:val="right" w:pos="9639"/>
        </w:tabs>
      </w:pPr>
      <w:r>
        <w:t>AUKŠČIAUSIOSIOS TARYBOS PIRMININKAS</w:t>
        <w:tab/>
        <w:t>VYTAUTAS LANDSBERGIS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750</Characters>
  <Application>Microsoft Office Word</Application>
  <DocSecurity>4</DocSecurity>
  <Lines>27</Lines>
  <Paragraphs>14</Paragraphs>
  <ScaleCrop>false</ScaleCrop>
  <Company/>
  <LinksUpToDate>false</LinksUpToDate>
  <CharactersWithSpaces>850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2015-09-19T08:47:00Z</dcterms:created>
  <dc:creator>marina.buivid@gmail.com</dc:creator>
  <lastModifiedBy>Adlib User</lastModifiedBy>
  <dcterms:modified xsi:type="dcterms:W3CDTF">2015-09-19T08:47:00Z</dcterms:modified>
  <revision>2</revision>
</coreProperties>
</file>