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DDCA3" w14:textId="77777777" w:rsidR="00553403" w:rsidRDefault="00044C5D">
      <w:pPr>
        <w:jc w:val="center"/>
        <w:rPr>
          <w:b/>
        </w:rPr>
      </w:pPr>
      <w:r>
        <w:rPr>
          <w:b/>
          <w:lang w:eastAsia="lt-LT"/>
        </w:rPr>
        <w:pict w14:anchorId="058DDCCF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3" w:shapeid="_x0000_s1027"/>
        </w:pict>
      </w:r>
      <w:r>
        <w:rPr>
          <w:b/>
        </w:rPr>
        <w:t>LIETUVOS RESPUBLIKOS SVEIKATOS APSAUGOS MINISTRO</w:t>
      </w:r>
    </w:p>
    <w:p w14:paraId="058DDCA4" w14:textId="77777777" w:rsidR="00553403" w:rsidRDefault="00553403">
      <w:pPr>
        <w:jc w:val="center"/>
      </w:pPr>
    </w:p>
    <w:p w14:paraId="058DDCA5" w14:textId="77777777" w:rsidR="00553403" w:rsidRDefault="00044C5D">
      <w:pPr>
        <w:jc w:val="center"/>
        <w:rPr>
          <w:b/>
        </w:rPr>
      </w:pPr>
      <w:r>
        <w:rPr>
          <w:b/>
        </w:rPr>
        <w:t>Į S A K Y M A S</w:t>
      </w:r>
    </w:p>
    <w:p w14:paraId="058DDCA6" w14:textId="77777777" w:rsidR="00553403" w:rsidRDefault="00044C5D">
      <w:pPr>
        <w:jc w:val="center"/>
        <w:rPr>
          <w:b/>
        </w:rPr>
      </w:pPr>
      <w:r>
        <w:rPr>
          <w:b/>
        </w:rPr>
        <w:t>DĖL LIETUVOS RESPUBLIKOS SVEIKATOS APSAUGOS MINISTRO 1999 M. LAPKRIČIO 29 D. ĮSAKYMO NR. 515 „DĖL SVEIKATOS PRIEŽIŪROS ĮSTAIGŲ VEIKLOS APSKAITOS IR ATSKAIT</w:t>
      </w:r>
      <w:r>
        <w:rPr>
          <w:b/>
        </w:rPr>
        <w:t>OMYBĖS TVARKOS“ PAKEITIMO</w:t>
      </w:r>
    </w:p>
    <w:p w14:paraId="058DDCA7" w14:textId="77777777" w:rsidR="00553403" w:rsidRDefault="00553403">
      <w:pPr>
        <w:jc w:val="center"/>
      </w:pPr>
    </w:p>
    <w:p w14:paraId="058DDCA8" w14:textId="77777777" w:rsidR="00553403" w:rsidRDefault="00044C5D">
      <w:pPr>
        <w:jc w:val="center"/>
      </w:pPr>
      <w:r>
        <w:t>2007 m. lapkričio 6 d. Nr. V-892</w:t>
      </w:r>
    </w:p>
    <w:p w14:paraId="058DDCA9" w14:textId="77777777" w:rsidR="00553403" w:rsidRDefault="00044C5D">
      <w:pPr>
        <w:jc w:val="center"/>
      </w:pPr>
      <w:r>
        <w:t>Vilnius</w:t>
      </w:r>
    </w:p>
    <w:p w14:paraId="058DDCAA" w14:textId="77777777" w:rsidR="00553403" w:rsidRDefault="00553403">
      <w:pPr>
        <w:ind w:firstLine="709"/>
        <w:jc w:val="both"/>
      </w:pPr>
    </w:p>
    <w:p w14:paraId="50D7DDFE" w14:textId="77777777" w:rsidR="00044C5D" w:rsidRDefault="00044C5D">
      <w:pPr>
        <w:ind w:firstLine="709"/>
        <w:jc w:val="both"/>
      </w:pPr>
    </w:p>
    <w:bookmarkStart w:id="0" w:name="_GoBack" w:displacedByCustomXml="prev"/>
    <w:p w14:paraId="058DDCAB" w14:textId="2F9E9E5B" w:rsidR="00553403" w:rsidRDefault="00044C5D">
      <w:pPr>
        <w:widowControl w:val="0"/>
        <w:shd w:val="clear" w:color="auto" w:fill="FFFFFF"/>
        <w:ind w:firstLine="709"/>
        <w:jc w:val="both"/>
      </w:pPr>
      <w:r>
        <w:rPr>
          <w:spacing w:val="60"/>
        </w:rPr>
        <w:t>Pakeičiu</w:t>
      </w:r>
      <w:r>
        <w:t xml:space="preserve"> Privalomų sveikatos statistikos ataskaitų pateikimo valstybės institucijoms tvarkos, patvirtintos Lietuvos Respublikos sveikatos apsaugos ministro 1999 m. lapkričio 29 d. įsakymu</w:t>
      </w:r>
      <w:r>
        <w:t xml:space="preserve"> Nr. 515 „Dėl sveikatos priežiūros įstaigų veiklos apskaitos ir atskaitomybės tvarkos“ (Žin., 1999, Nr. </w:t>
      </w:r>
      <w:hyperlink r:id="rId10" w:tgtFrame="_blank" w:history="1">
        <w:r>
          <w:rPr>
            <w:color w:val="0000FF" w:themeColor="hyperlink"/>
            <w:u w:val="single"/>
          </w:rPr>
          <w:t>103-2972</w:t>
        </w:r>
      </w:hyperlink>
      <w:r>
        <w:t>, Nr. 105; 2003, Nr. 66-3010), 9 punktą ir išdėstau jį taip:</w:t>
      </w:r>
    </w:p>
    <w:p w14:paraId="058DDCAC" w14:textId="046C4313" w:rsidR="00553403" w:rsidRDefault="00553403">
      <w:pPr>
        <w:ind w:firstLine="709"/>
        <w:jc w:val="both"/>
      </w:pPr>
    </w:p>
    <w:tbl>
      <w:tblPr>
        <w:tblW w:w="963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7"/>
        <w:gridCol w:w="2186"/>
        <w:gridCol w:w="1902"/>
        <w:gridCol w:w="2663"/>
        <w:gridCol w:w="2409"/>
      </w:tblGrid>
      <w:tr w:rsidR="00553403" w14:paraId="058DDCB2" w14:textId="77777777">
        <w:trPr>
          <w:cantSplit/>
          <w:trHeight w:val="23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8DDCAD" w14:textId="571278DB" w:rsidR="00553403" w:rsidRDefault="00044C5D">
            <w:pPr>
              <w:widowControl w:val="0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„</w:t>
            </w:r>
            <w:r>
              <w:rPr>
                <w:szCs w:val="24"/>
              </w:rPr>
              <w:t>9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8DDCAE" w14:textId="77777777" w:rsidR="00553403" w:rsidRDefault="00044C5D">
            <w:pPr>
              <w:widowControl w:val="0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Visuomenės sveikatos centrai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8DDCAF" w14:textId="77777777" w:rsidR="00553403" w:rsidRDefault="00044C5D">
            <w:pPr>
              <w:widowControl w:val="0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8DDCB0" w14:textId="77777777" w:rsidR="00553403" w:rsidRDefault="00044C5D">
            <w:pPr>
              <w:widowControl w:val="0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už mėnesį ir metus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8DDCB1" w14:textId="77777777" w:rsidR="00553403" w:rsidRDefault="00044C5D">
            <w:pPr>
              <w:widowControl w:val="0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Užkrečiamųjų ligų profilaktikos ir kontrolės centrui</w:t>
            </w:r>
          </w:p>
        </w:tc>
      </w:tr>
      <w:tr w:rsidR="00553403" w14:paraId="058DDCB8" w14:textId="77777777">
        <w:trPr>
          <w:cantSplit/>
          <w:trHeight w:val="23"/>
        </w:trPr>
        <w:tc>
          <w:tcPr>
            <w:tcW w:w="451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058DDCB3" w14:textId="77777777" w:rsidR="00553403" w:rsidRDefault="00553403">
            <w:pPr>
              <w:widowControl w:val="0"/>
              <w:shd w:val="clear" w:color="auto" w:fill="FFFFFF"/>
              <w:rPr>
                <w:szCs w:val="24"/>
              </w:rPr>
            </w:pPr>
          </w:p>
        </w:tc>
        <w:tc>
          <w:tcPr>
            <w:tcW w:w="2069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058DDCB4" w14:textId="77777777" w:rsidR="00553403" w:rsidRDefault="00553403">
            <w:pPr>
              <w:widowControl w:val="0"/>
              <w:shd w:val="clear" w:color="auto" w:fill="FFFFFF"/>
              <w:rPr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8DDCB5" w14:textId="77777777" w:rsidR="00553403" w:rsidRDefault="00044C5D">
            <w:pPr>
              <w:widowControl w:val="0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5, 5-1, 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8DDCB6" w14:textId="77777777" w:rsidR="00553403" w:rsidRDefault="00044C5D">
            <w:pPr>
              <w:widowControl w:val="0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už metus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8DDCB7" w14:textId="77777777" w:rsidR="00553403" w:rsidRDefault="00553403">
            <w:pPr>
              <w:widowControl w:val="0"/>
              <w:shd w:val="clear" w:color="auto" w:fill="FFFFFF"/>
              <w:rPr>
                <w:szCs w:val="24"/>
              </w:rPr>
            </w:pPr>
          </w:p>
        </w:tc>
      </w:tr>
      <w:tr w:rsidR="00553403" w14:paraId="058DDCBE" w14:textId="77777777">
        <w:trPr>
          <w:cantSplit/>
          <w:trHeight w:val="23"/>
        </w:trPr>
        <w:tc>
          <w:tcPr>
            <w:tcW w:w="451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58DDCB9" w14:textId="77777777" w:rsidR="00553403" w:rsidRDefault="00553403">
            <w:pPr>
              <w:widowControl w:val="0"/>
              <w:shd w:val="clear" w:color="auto" w:fill="FFFFFF"/>
              <w:rPr>
                <w:szCs w:val="24"/>
              </w:rPr>
            </w:pPr>
          </w:p>
        </w:tc>
        <w:tc>
          <w:tcPr>
            <w:tcW w:w="2069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58DDCBA" w14:textId="77777777" w:rsidR="00553403" w:rsidRDefault="00553403">
            <w:pPr>
              <w:widowControl w:val="0"/>
              <w:shd w:val="clear" w:color="auto" w:fill="FFFFFF"/>
              <w:rPr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8DDCBB" w14:textId="77777777" w:rsidR="00553403" w:rsidRDefault="00044C5D">
            <w:pPr>
              <w:widowControl w:val="0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8DDCBC" w14:textId="77777777" w:rsidR="00553403" w:rsidRDefault="00044C5D">
            <w:pPr>
              <w:widowControl w:val="0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už mėnesį, pusmetį ir metus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8DDCBD" w14:textId="77777777" w:rsidR="00553403" w:rsidRDefault="00553403">
            <w:pPr>
              <w:widowControl w:val="0"/>
              <w:shd w:val="clear" w:color="auto" w:fill="FFFFFF"/>
              <w:rPr>
                <w:szCs w:val="24"/>
              </w:rPr>
            </w:pPr>
          </w:p>
        </w:tc>
      </w:tr>
      <w:tr w:rsidR="00553403" w14:paraId="058DDCC4" w14:textId="77777777">
        <w:trPr>
          <w:cantSplit/>
          <w:trHeight w:val="23"/>
        </w:trPr>
        <w:tc>
          <w:tcPr>
            <w:tcW w:w="451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58DDCBF" w14:textId="77777777" w:rsidR="00553403" w:rsidRDefault="00553403">
            <w:pPr>
              <w:widowControl w:val="0"/>
              <w:shd w:val="clear" w:color="auto" w:fill="FFFFFF"/>
              <w:rPr>
                <w:szCs w:val="24"/>
              </w:rPr>
            </w:pPr>
          </w:p>
        </w:tc>
        <w:tc>
          <w:tcPr>
            <w:tcW w:w="2069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58DDCC0" w14:textId="77777777" w:rsidR="00553403" w:rsidRDefault="00553403">
            <w:pPr>
              <w:widowControl w:val="0"/>
              <w:shd w:val="clear" w:color="auto" w:fill="FFFFFF"/>
              <w:rPr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058DDCC1" w14:textId="77777777" w:rsidR="00553403" w:rsidRDefault="00044C5D">
            <w:pPr>
              <w:widowControl w:val="0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9</w:t>
            </w:r>
            <w:r>
              <w:rPr>
                <w:szCs w:val="24"/>
                <w:vertAlign w:val="superscript"/>
              </w:rPr>
              <w:t>1</w:t>
            </w:r>
            <w:r>
              <w:rPr>
                <w:szCs w:val="24"/>
              </w:rPr>
              <w:t>, 37, 38, 38</w:t>
            </w:r>
            <w:r>
              <w:rPr>
                <w:szCs w:val="24"/>
                <w:vertAlign w:val="superscript"/>
              </w:rPr>
              <w:t>1</w:t>
            </w:r>
            <w:r>
              <w:rPr>
                <w:szCs w:val="24"/>
              </w:rPr>
              <w:t>, 43, 44, 45, 49, 50, 50</w:t>
            </w:r>
            <w:r>
              <w:rPr>
                <w:szCs w:val="24"/>
                <w:vertAlign w:val="superscript"/>
              </w:rPr>
              <w:t>1</w:t>
            </w:r>
            <w:r>
              <w:rPr>
                <w:szCs w:val="24"/>
              </w:rPr>
              <w:t>, 50</w:t>
            </w:r>
            <w:r>
              <w:rPr>
                <w:szCs w:val="24"/>
                <w:vertAlign w:val="superscript"/>
              </w:rPr>
              <w:t>2</w:t>
            </w:r>
            <w:r>
              <w:rPr>
                <w:szCs w:val="24"/>
              </w:rPr>
              <w:t>, 51, 61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058DDCC2" w14:textId="77777777" w:rsidR="00553403" w:rsidRDefault="00044C5D">
            <w:pPr>
              <w:widowControl w:val="0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už metus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8DDCC3" w14:textId="77777777" w:rsidR="00553403" w:rsidRDefault="00044C5D">
            <w:pPr>
              <w:widowControl w:val="0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„</w:t>
            </w:r>
          </w:p>
        </w:tc>
      </w:tr>
      <w:tr w:rsidR="00553403" w14:paraId="058DDCCA" w14:textId="77777777">
        <w:trPr>
          <w:cantSplit/>
          <w:trHeight w:val="1350"/>
        </w:trPr>
        <w:tc>
          <w:tcPr>
            <w:tcW w:w="451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58DDCC5" w14:textId="77777777" w:rsidR="00553403" w:rsidRDefault="00553403">
            <w:pPr>
              <w:widowControl w:val="0"/>
              <w:shd w:val="clear" w:color="auto" w:fill="FFFFFF"/>
              <w:rPr>
                <w:szCs w:val="24"/>
              </w:rPr>
            </w:pPr>
          </w:p>
        </w:tc>
        <w:tc>
          <w:tcPr>
            <w:tcW w:w="2069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58DDCC6" w14:textId="77777777" w:rsidR="00553403" w:rsidRDefault="00553403">
            <w:pPr>
              <w:widowControl w:val="0"/>
              <w:shd w:val="clear" w:color="auto" w:fill="FFFFFF"/>
              <w:rPr>
                <w:szCs w:val="24"/>
              </w:rPr>
            </w:pPr>
          </w:p>
        </w:tc>
        <w:tc>
          <w:tcPr>
            <w:tcW w:w="1800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58DDCC7" w14:textId="77777777" w:rsidR="00553403" w:rsidRDefault="00553403">
            <w:pPr>
              <w:widowControl w:val="0"/>
              <w:shd w:val="clear" w:color="auto" w:fill="FFFFFF"/>
              <w:rPr>
                <w:szCs w:val="24"/>
              </w:rPr>
            </w:pPr>
          </w:p>
        </w:tc>
        <w:tc>
          <w:tcPr>
            <w:tcW w:w="2520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58DDCC8" w14:textId="77777777" w:rsidR="00553403" w:rsidRDefault="00553403">
            <w:pPr>
              <w:widowControl w:val="0"/>
              <w:shd w:val="clear" w:color="auto" w:fill="FFFFFF"/>
              <w:rPr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058DDCC9" w14:textId="77777777" w:rsidR="00553403" w:rsidRDefault="00044C5D">
            <w:pPr>
              <w:widowControl w:val="0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„</w:t>
            </w:r>
          </w:p>
        </w:tc>
      </w:tr>
    </w:tbl>
    <w:p w14:paraId="3F7A6BD4" w14:textId="77777777" w:rsidR="00044C5D" w:rsidRDefault="00044C5D">
      <w:pPr>
        <w:ind w:firstLine="709"/>
        <w:jc w:val="both"/>
      </w:pPr>
    </w:p>
    <w:p w14:paraId="058DDCCC" w14:textId="47BA7475" w:rsidR="00553403" w:rsidRDefault="00044C5D">
      <w:pPr>
        <w:ind w:firstLine="709"/>
        <w:jc w:val="both"/>
      </w:pPr>
    </w:p>
    <w:bookmarkEnd w:id="0" w:displacedByCustomXml="next"/>
    <w:p w14:paraId="7AB346EA" w14:textId="77777777" w:rsidR="00044C5D" w:rsidRDefault="00044C5D">
      <w:pPr>
        <w:tabs>
          <w:tab w:val="right" w:pos="9639"/>
        </w:tabs>
      </w:pPr>
    </w:p>
    <w:p w14:paraId="0B5E36E6" w14:textId="77777777" w:rsidR="00044C5D" w:rsidRDefault="00044C5D">
      <w:pPr>
        <w:tabs>
          <w:tab w:val="right" w:pos="9639"/>
        </w:tabs>
      </w:pPr>
    </w:p>
    <w:p w14:paraId="386CD5FE" w14:textId="77777777" w:rsidR="00044C5D" w:rsidRDefault="00044C5D">
      <w:pPr>
        <w:tabs>
          <w:tab w:val="right" w:pos="9639"/>
        </w:tabs>
      </w:pPr>
    </w:p>
    <w:p w14:paraId="058DDCCE" w14:textId="1E36DB3E" w:rsidR="00553403" w:rsidRDefault="00044C5D" w:rsidP="00044C5D">
      <w:pPr>
        <w:tabs>
          <w:tab w:val="right" w:pos="9639"/>
        </w:tabs>
      </w:pPr>
      <w:r>
        <w:t xml:space="preserve">SVEIKATOS </w:t>
      </w:r>
      <w:r>
        <w:t>APSAUGOS MINISTRAS</w:t>
      </w:r>
      <w:r>
        <w:tab/>
        <w:t>RIMVYDAS TURČINSKAS</w:t>
      </w:r>
    </w:p>
    <w:sectPr w:rsidR="0055340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8DDCD2" w14:textId="77777777" w:rsidR="00553403" w:rsidRDefault="00044C5D">
      <w:r>
        <w:separator/>
      </w:r>
    </w:p>
  </w:endnote>
  <w:endnote w:type="continuationSeparator" w:id="0">
    <w:p w14:paraId="058DDCD3" w14:textId="77777777" w:rsidR="00553403" w:rsidRDefault="00044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DDCD8" w14:textId="77777777" w:rsidR="00553403" w:rsidRDefault="00553403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DDCD9" w14:textId="77777777" w:rsidR="00553403" w:rsidRDefault="00553403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DDCDB" w14:textId="77777777" w:rsidR="00553403" w:rsidRDefault="00553403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8DDCD0" w14:textId="77777777" w:rsidR="00553403" w:rsidRDefault="00044C5D">
      <w:r>
        <w:separator/>
      </w:r>
    </w:p>
  </w:footnote>
  <w:footnote w:type="continuationSeparator" w:id="0">
    <w:p w14:paraId="058DDCD1" w14:textId="77777777" w:rsidR="00553403" w:rsidRDefault="00044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DDCD4" w14:textId="77777777" w:rsidR="00553403" w:rsidRDefault="00044C5D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058DDCD5" w14:textId="77777777" w:rsidR="00553403" w:rsidRDefault="00553403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DDCD6" w14:textId="77777777" w:rsidR="00553403" w:rsidRDefault="00044C5D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1</w:t>
    </w:r>
    <w:r>
      <w:rPr>
        <w:lang w:val="en-GB"/>
      </w:rPr>
      <w:fldChar w:fldCharType="end"/>
    </w:r>
  </w:p>
  <w:p w14:paraId="058DDCD7" w14:textId="77777777" w:rsidR="00553403" w:rsidRDefault="00553403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DDCDA" w14:textId="77777777" w:rsidR="00553403" w:rsidRDefault="00553403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DA9"/>
    <w:rsid w:val="00044C5D"/>
    <w:rsid w:val="00053DA9"/>
    <w:rsid w:val="0055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58DDC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44C5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44C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F1D86F455636"/>
  <Relationship Id="rId11" Type="http://schemas.openxmlformats.org/officeDocument/2006/relationships/header" Target="header1.xml"/>
  <Relationship Id="rId12" Type="http://schemas.openxmlformats.org/officeDocument/2006/relationships/header" Target="header2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header" Target="header3.xml"/>
  <Relationship Id="rId16" Type="http://schemas.openxmlformats.org/officeDocument/2006/relationships/footer" Target="footer3.xml"/>
  <Relationship Id="rId17" Type="http://schemas.openxmlformats.org/officeDocument/2006/relationships/fontTable" Target="fontTable.xml"/>
  <Relationship Id="rId18" Type="http://schemas.openxmlformats.org/officeDocument/2006/relationships/glossaryDocument" Target="glossary/document.xml"/>
  <Relationship Id="rId19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47"/>
    <w:rsid w:val="0029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292E4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292E4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656</Words>
  <Characters>375</Characters>
  <Application>Microsoft Office Word</Application>
  <DocSecurity>0</DocSecurity>
  <Lines>3</Lines>
  <Paragraphs>2</Paragraphs>
  <ScaleCrop>false</ScaleCrop>
  <Company/>
  <LinksUpToDate>false</LinksUpToDate>
  <CharactersWithSpaces>1029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2015-10-01T03:55:00Z</dcterms:created>
  <dc:creator>Rima</dc:creator>
  <lastModifiedBy>PETRAUSKAITĖ Girmantė</lastModifiedBy>
  <dcterms:modified xsi:type="dcterms:W3CDTF">2016-01-26T13:50:00Z</dcterms:modified>
  <revision>3</revision>
  <dc:title>LIETUVOS RESPUBLIKOS SVEIKATOS APSAUGOS MINISTRO</dc:title>
</coreProperties>
</file>