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EEDF" w14:textId="77777777" w:rsidR="002570DD" w:rsidRDefault="00D37D8D">
      <w:pPr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  <w:lang w:val="en-US"/>
        </w:rPr>
        <w:pict w14:anchorId="0BB1EEF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aps/>
          <w:color w:val="000000"/>
        </w:rPr>
        <w:t xml:space="preserve">Valstybinio socialinio draudimo fondo valdybos </w:t>
      </w:r>
    </w:p>
    <w:p w14:paraId="0BB1EEE0" w14:textId="77777777" w:rsidR="002570DD" w:rsidRDefault="00D37D8D">
      <w:pPr>
        <w:widowControl w:val="0"/>
        <w:suppressAutoHyphens/>
        <w:jc w:val="center"/>
        <w:rPr>
          <w:color w:val="000000"/>
        </w:rPr>
      </w:pPr>
      <w:r>
        <w:rPr>
          <w:caps/>
          <w:color w:val="000000"/>
        </w:rPr>
        <w:t>prie Socialinės apsaugos ir darbo ministerijos DirektoriAus</w:t>
      </w:r>
    </w:p>
    <w:p w14:paraId="0BB1EEE1" w14:textId="77777777" w:rsidR="002570DD" w:rsidRDefault="00D37D8D">
      <w:pPr>
        <w:widowControl w:val="0"/>
        <w:suppressAutoHyphens/>
        <w:jc w:val="center"/>
        <w:rPr>
          <w:caps/>
          <w:color w:val="000000"/>
          <w:spacing w:val="60"/>
        </w:rPr>
      </w:pPr>
      <w:r>
        <w:rPr>
          <w:caps/>
          <w:color w:val="000000"/>
          <w:spacing w:val="60"/>
        </w:rPr>
        <w:t>ĮSAKYMAS</w:t>
      </w:r>
    </w:p>
    <w:p w14:paraId="0BB1EEE2" w14:textId="77777777" w:rsidR="002570DD" w:rsidRDefault="002570DD">
      <w:pPr>
        <w:widowControl w:val="0"/>
        <w:suppressAutoHyphens/>
        <w:jc w:val="center"/>
        <w:rPr>
          <w:color w:val="000000"/>
        </w:rPr>
      </w:pPr>
    </w:p>
    <w:p w14:paraId="0BB1EEE3" w14:textId="77777777" w:rsidR="002570DD" w:rsidRDefault="00D37D8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valstybinio socialinio draudimo fondo valdybos prie SOcialinės apsaugos ir darbo ministerijos direk</w:t>
      </w:r>
      <w:r>
        <w:rPr>
          <w:b/>
          <w:bCs/>
          <w:caps/>
          <w:color w:val="000000"/>
        </w:rPr>
        <w:t>toriaus 2010 m. birželio 4 d. įsakymo Nr. V-243 „Dėl duomenų apie apdraustuosius ir draudėjus pateikimo ir tikslinimo taisyklių, socialinio draudimo pranešimų/prašymo formų ir jų elektroninių duomenų struktūros aprašų patvirtinimo“ pakeitimo</w:t>
      </w:r>
    </w:p>
    <w:p w14:paraId="0BB1EEE4" w14:textId="77777777" w:rsidR="002570DD" w:rsidRDefault="002570DD">
      <w:pPr>
        <w:widowControl w:val="0"/>
        <w:suppressAutoHyphens/>
        <w:jc w:val="center"/>
        <w:rPr>
          <w:color w:val="000000"/>
        </w:rPr>
      </w:pPr>
    </w:p>
    <w:p w14:paraId="0BB1EEE5" w14:textId="77777777" w:rsidR="002570DD" w:rsidRDefault="00D37D8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</w:t>
      </w:r>
      <w:r>
        <w:rPr>
          <w:color w:val="000000"/>
        </w:rPr>
        <w:t>ičio 18 d. Nr. V-486</w:t>
      </w:r>
    </w:p>
    <w:p w14:paraId="0BB1EEE6" w14:textId="77777777" w:rsidR="002570DD" w:rsidRDefault="00D37D8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BB1EEE7" w14:textId="77777777" w:rsidR="002570DD" w:rsidRDefault="002570DD">
      <w:pPr>
        <w:widowControl w:val="0"/>
        <w:suppressAutoHyphens/>
        <w:jc w:val="both"/>
        <w:rPr>
          <w:color w:val="000000"/>
        </w:rPr>
      </w:pPr>
    </w:p>
    <w:p w14:paraId="743C97F2" w14:textId="77777777" w:rsidR="00D37D8D" w:rsidRDefault="00D37D8D">
      <w:pPr>
        <w:widowControl w:val="0"/>
        <w:suppressAutoHyphens/>
        <w:jc w:val="both"/>
        <w:rPr>
          <w:color w:val="000000"/>
        </w:rPr>
      </w:pPr>
    </w:p>
    <w:p w14:paraId="0BB1EEE8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Duomenų apie apdraustuosius ir draudėjus pateikimo ir tikslinimo taisykles (toliau – Taisyklės), patvirtintas Valstybinio socialinio draudimo fondo valdybos prie Socialinės apsaugos ir darbo ministerijos (toliau </w:t>
      </w:r>
      <w:r>
        <w:rPr>
          <w:color w:val="000000"/>
        </w:rPr>
        <w:t xml:space="preserve">– Fondo valdyba) direktoriaus 2010 m. birželio 4 d. įsakymu Nr. V-243 „Dėl </w:t>
      </w:r>
      <w:r>
        <w:rPr>
          <w:caps/>
          <w:color w:val="000000"/>
        </w:rPr>
        <w:t>d</w:t>
      </w:r>
      <w:r>
        <w:rPr>
          <w:color w:val="000000"/>
        </w:rPr>
        <w:t>uomenų apie apdraustuosius ir draudėjus pateikimo ir tikslinimo taisyklių, socialinio draudimo pranešimų/prašymo formų ir jų elektroninių duomenų struktūros aprašų patvirtinimo“ (Ž</w:t>
      </w:r>
      <w:r>
        <w:rPr>
          <w:color w:val="000000"/>
        </w:rPr>
        <w:t xml:space="preserve">in., 2010, Nr. </w:t>
      </w:r>
      <w:hyperlink r:id="rId10" w:tgtFrame="_blank" w:history="1">
        <w:r>
          <w:rPr>
            <w:color w:val="0000FF" w:themeColor="hyperlink"/>
            <w:u w:val="single"/>
          </w:rPr>
          <w:t>73-3728</w:t>
        </w:r>
      </w:hyperlink>
      <w:r>
        <w:rPr>
          <w:color w:val="000000"/>
        </w:rPr>
        <w:t>):</w:t>
      </w:r>
    </w:p>
    <w:p w14:paraId="0BB1EEE9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Išdėstau Taisyklių 14.3 punktą taip:</w:t>
      </w:r>
    </w:p>
    <w:p w14:paraId="0BB1EEEA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14.3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laukelyje 4</w:t>
      </w:r>
      <w:r>
        <w:rPr>
          <w:color w:val="000000"/>
        </w:rPr>
        <w:t xml:space="preserve"> nurodomas draudėjo kodas. Šis laukelis gali būti nepildomas, jeigu draudėjui pagal gali</w:t>
      </w:r>
      <w:r>
        <w:rPr>
          <w:color w:val="000000"/>
        </w:rPr>
        <w:t>ojančius Lietuvos Respublikos teisės aktus suteiktas Juridinių asmenų registro kodas.“</w:t>
      </w:r>
    </w:p>
    <w:p w14:paraId="0BB1EEEB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Išdėstau Taisyklių 16.14 punktą taip:</w:t>
      </w:r>
    </w:p>
    <w:p w14:paraId="0BB1EEEC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16.14</w:t>
      </w:r>
      <w:r>
        <w:rPr>
          <w:color w:val="000000"/>
        </w:rPr>
        <w:t xml:space="preserve">. apdraustasis asmuo perkeliamas į kitą to paties juridinio asmens struktūrinį padalinį (tik tais atvejais, </w:t>
      </w:r>
      <w:r>
        <w:rPr>
          <w:color w:val="000000"/>
        </w:rPr>
        <w:t>kai keičiasi draudėjas; priežasties kodas – 14);“.</w:t>
      </w:r>
    </w:p>
    <w:p w14:paraId="0BB1EEED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Išdėstau Taisyklių 32.2 punktą taip:</w:t>
      </w:r>
    </w:p>
    <w:p w14:paraId="0BB1EEEE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32.2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laukelyje R4.1</w:t>
      </w:r>
      <w:r>
        <w:rPr>
          <w:color w:val="000000"/>
        </w:rPr>
        <w:t xml:space="preserve"> nurodomas draudėjo kodas iki reorganizavimo. Šis laukelis gali būti nepildomas, jeigu draudėjui pagal galiojančius Lietuvos Respubl</w:t>
      </w:r>
      <w:r>
        <w:rPr>
          <w:color w:val="000000"/>
        </w:rPr>
        <w:t>ikos teisės aktus suteiktas Juridinių asmenų registro kodas.“</w:t>
      </w:r>
    </w:p>
    <w:p w14:paraId="0BB1EEEF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Išdėstau Taisyklių 32.6 punktą taip:</w:t>
      </w:r>
    </w:p>
    <w:p w14:paraId="0BB1EEF0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32.6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laukelyje R4.2</w:t>
      </w:r>
      <w:r>
        <w:rPr>
          <w:color w:val="000000"/>
        </w:rPr>
        <w:t xml:space="preserve"> nurodomas draudėjo kodas po reorganizavimo. Šis laukelis gali būti nepildomas, jeigu draudėjui pagal galiojančius Lietuv</w:t>
      </w:r>
      <w:r>
        <w:rPr>
          <w:color w:val="000000"/>
        </w:rPr>
        <w:t>os Respublikos teisės aktus suteiktas Juridinių asmenų registro kodas.“</w:t>
      </w:r>
    </w:p>
    <w:p w14:paraId="0BB1EEF1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Įpareigoj</w:t>
      </w:r>
      <w:r>
        <w:rPr>
          <w:color w:val="000000"/>
        </w:rPr>
        <w:t>u:</w:t>
      </w:r>
    </w:p>
    <w:p w14:paraId="0BB1EEF2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Fondo valdybos Teisės skyrių šį įsakymą paskelbti leidinyje „Valstybės žinios“;</w:t>
      </w:r>
    </w:p>
    <w:p w14:paraId="0BB1EEF3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 xml:space="preserve">. Fondo valdybos Komunikacijos skyrių paskelbti šį įsakymą Fondo </w:t>
      </w:r>
      <w:r>
        <w:rPr>
          <w:color w:val="000000"/>
        </w:rPr>
        <w:t>valdybos interneto ir intraneto svetainėse;</w:t>
      </w:r>
    </w:p>
    <w:p w14:paraId="0BB1EEF4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Fondo valdybos Informacinės sistemos plėtros skyrių paskelbti šį įsakymą Fondo valdybos Draudėjų portale;</w:t>
      </w:r>
    </w:p>
    <w:p w14:paraId="0BB1EEF5" w14:textId="77777777" w:rsidR="002570DD" w:rsidRDefault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Fondo valdybos Dokumentų tvarkymo skyrių šio įsakymo elektroninius nuorašus išsiųsti Fon</w:t>
      </w:r>
      <w:r>
        <w:rPr>
          <w:color w:val="000000"/>
        </w:rPr>
        <w:t xml:space="preserve">do valdybos direktoriaus pavaduotojams, Fondo valdybos skyriams, Fondo valdybos Vidaus audito departamentui, Valstybinio socialinio draudimo fondo valdybos teritoriniams skyriams ir kitoms Valstybinio socialinio draudimo fondo administravimo įstaigoms bei </w:t>
      </w:r>
      <w:r>
        <w:rPr>
          <w:color w:val="000000"/>
        </w:rPr>
        <w:t>įsakymo nuorašą išsiųsti Lietuvos Respublikos socialinės apsaugos ir darbo ministerijai.</w:t>
      </w:r>
    </w:p>
    <w:p w14:paraId="0BB1EEF8" w14:textId="539E0EEE" w:rsidR="002570DD" w:rsidRDefault="00D37D8D" w:rsidP="00D37D8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>u, kad šio įsakymo 1 punktas įsigalioja 2011 m. kovo 1 d.</w:t>
      </w:r>
    </w:p>
    <w:p w14:paraId="3F4CFD9C" w14:textId="7B20FBD4" w:rsidR="00D37D8D" w:rsidRDefault="00D37D8D">
      <w:pPr>
        <w:widowControl w:val="0"/>
        <w:tabs>
          <w:tab w:val="right" w:pos="9071"/>
        </w:tabs>
        <w:suppressAutoHyphens/>
      </w:pPr>
    </w:p>
    <w:p w14:paraId="257A4641" w14:textId="77777777" w:rsidR="00D37D8D" w:rsidRDefault="00D37D8D">
      <w:pPr>
        <w:widowControl w:val="0"/>
        <w:tabs>
          <w:tab w:val="right" w:pos="9071"/>
        </w:tabs>
        <w:suppressAutoHyphens/>
      </w:pPr>
    </w:p>
    <w:p w14:paraId="5EE5F857" w14:textId="77777777" w:rsidR="00D37D8D" w:rsidRDefault="00D37D8D">
      <w:pPr>
        <w:widowControl w:val="0"/>
        <w:tabs>
          <w:tab w:val="right" w:pos="9071"/>
        </w:tabs>
        <w:suppressAutoHyphens/>
      </w:pPr>
    </w:p>
    <w:p w14:paraId="0BB1EEFA" w14:textId="1ADB9A20" w:rsidR="002570DD" w:rsidRDefault="00D37D8D" w:rsidP="00D37D8D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 xml:space="preserve">L.e. direktoriaus pareigas </w:t>
      </w:r>
      <w:r>
        <w:rPr>
          <w:caps/>
          <w:color w:val="000000"/>
        </w:rPr>
        <w:tab/>
      </w:r>
      <w:bookmarkStart w:id="0" w:name="_GoBack"/>
      <w:bookmarkEnd w:id="0"/>
      <w:r>
        <w:rPr>
          <w:caps/>
          <w:color w:val="000000"/>
        </w:rPr>
        <w:t>Česlava Zabulėnienė</w:t>
      </w:r>
    </w:p>
    <w:sectPr w:rsidR="002570DD" w:rsidSect="00D37D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1EEFE" w14:textId="77777777" w:rsidR="002570DD" w:rsidRDefault="00D37D8D">
      <w:r>
        <w:separator/>
      </w:r>
    </w:p>
  </w:endnote>
  <w:endnote w:type="continuationSeparator" w:id="0">
    <w:p w14:paraId="0BB1EEFF" w14:textId="77777777" w:rsidR="002570DD" w:rsidRDefault="00D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EF02" w14:textId="77777777" w:rsidR="002570DD" w:rsidRDefault="002570DD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EF03" w14:textId="77777777" w:rsidR="002570DD" w:rsidRDefault="002570DD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EF05" w14:textId="77777777" w:rsidR="002570DD" w:rsidRDefault="002570DD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1EEFC" w14:textId="77777777" w:rsidR="002570DD" w:rsidRDefault="00D37D8D">
      <w:r>
        <w:separator/>
      </w:r>
    </w:p>
  </w:footnote>
  <w:footnote w:type="continuationSeparator" w:id="0">
    <w:p w14:paraId="0BB1EEFD" w14:textId="77777777" w:rsidR="002570DD" w:rsidRDefault="00D37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EF00" w14:textId="77777777" w:rsidR="002570DD" w:rsidRDefault="002570D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EF01" w14:textId="77777777" w:rsidR="002570DD" w:rsidRDefault="002570D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EF04" w14:textId="77777777" w:rsidR="002570DD" w:rsidRDefault="002570D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0D"/>
    <w:rsid w:val="0015680D"/>
    <w:rsid w:val="002570DD"/>
    <w:rsid w:val="00D3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B1E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7D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7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4A6775CE75B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6E"/>
    <w:rsid w:val="0041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31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31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1911</Words>
  <Characters>1090</Characters>
  <Application>Microsoft Office Word</Application>
  <DocSecurity>0</DocSecurity>
  <Lines>9</Lines>
  <Paragraphs>5</Paragraphs>
  <ScaleCrop>false</ScaleCrop>
  <Company>Teisines informacijos centras</Company>
  <LinksUpToDate>false</LinksUpToDate>
  <CharactersWithSpaces>2996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2015-09-11T04:10:00Z</dcterms:created>
  <dc:creator>Sandra</dc:creator>
  <lastModifiedBy>PAVKŠTELO Julita</lastModifiedBy>
  <dcterms:modified xsi:type="dcterms:W3CDTF">2015-11-25T08:36:00Z</dcterms:modified>
  <revision>3</revision>
  <dc:title>VALSTYBINIO SOCIALINIO DRAUDIMO FONDO VALDYBOS</dc:title>
</coreProperties>
</file>