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9396" w14:textId="68816A7E" w:rsidR="00355BD5" w:rsidRDefault="00355BD5">
      <w:pPr>
        <w:tabs>
          <w:tab w:val="center" w:pos="4153"/>
          <w:tab w:val="right" w:pos="8306"/>
        </w:tabs>
        <w:rPr>
          <w:lang w:val="en-GB"/>
        </w:rPr>
      </w:pPr>
    </w:p>
    <w:p w14:paraId="38879397" w14:textId="68816A7E" w:rsidR="00355BD5" w:rsidRDefault="009E4636">
      <w:pPr>
        <w:jc w:val="center"/>
        <w:rPr>
          <w:b/>
        </w:rPr>
      </w:pPr>
      <w:r>
        <w:rPr>
          <w:b/>
          <w:lang w:eastAsia="lt-LT"/>
        </w:rPr>
        <w:pict w14:anchorId="388793C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4" w:shapeid="_x0000_s1028"/>
        </w:pict>
      </w:r>
      <w:r>
        <w:rPr>
          <w:b/>
        </w:rPr>
        <w:t>LIETUVOS RESPUBLIKOS</w:t>
      </w:r>
    </w:p>
    <w:p w14:paraId="38879398" w14:textId="77777777" w:rsidR="00355BD5" w:rsidRDefault="009E4636">
      <w:pPr>
        <w:jc w:val="center"/>
        <w:rPr>
          <w:b/>
        </w:rPr>
      </w:pPr>
      <w:r>
        <w:rPr>
          <w:b/>
        </w:rPr>
        <w:t>ELEKTRONINIO PARAŠO ĮSTATYMO 4, 8, 14, 16 STRAIPSNIŲ PAKEITIMO IR PAPILDYMO</w:t>
      </w:r>
    </w:p>
    <w:p w14:paraId="38879399" w14:textId="77777777" w:rsidR="00355BD5" w:rsidRDefault="009E4636">
      <w:pPr>
        <w:jc w:val="center"/>
        <w:rPr>
          <w:b/>
        </w:rPr>
      </w:pPr>
      <w:r>
        <w:rPr>
          <w:b/>
        </w:rPr>
        <w:t>Į S T A T Y M A S</w:t>
      </w:r>
    </w:p>
    <w:p w14:paraId="3887939A" w14:textId="77777777" w:rsidR="00355BD5" w:rsidRDefault="00355BD5">
      <w:pPr>
        <w:jc w:val="center"/>
      </w:pPr>
    </w:p>
    <w:p w14:paraId="3887939B" w14:textId="77777777" w:rsidR="00355BD5" w:rsidRDefault="009E4636">
      <w:pPr>
        <w:jc w:val="center"/>
      </w:pPr>
      <w:r>
        <w:t>2002 m. birželio 6 d. Nr. IX-934</w:t>
      </w:r>
    </w:p>
    <w:p w14:paraId="3887939C" w14:textId="77777777" w:rsidR="00355BD5" w:rsidRDefault="009E4636">
      <w:pPr>
        <w:jc w:val="center"/>
      </w:pPr>
      <w:r>
        <w:t>Vilnius</w:t>
      </w:r>
    </w:p>
    <w:p w14:paraId="3887939D" w14:textId="77777777" w:rsidR="00355BD5" w:rsidRDefault="00355BD5">
      <w:pPr>
        <w:jc w:val="center"/>
      </w:pPr>
    </w:p>
    <w:p w14:paraId="3887939E" w14:textId="77777777" w:rsidR="00355BD5" w:rsidRDefault="009E4636">
      <w:pPr>
        <w:jc w:val="center"/>
        <w:rPr>
          <w:b/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61-1827</w:t>
        </w:r>
      </w:hyperlink>
      <w:r>
        <w:rPr>
          <w:color w:val="000000"/>
        </w:rPr>
        <w:t>)</w:t>
      </w:r>
    </w:p>
    <w:p w14:paraId="3887939F" w14:textId="77777777" w:rsidR="00355BD5" w:rsidRDefault="00355BD5"/>
    <w:p w14:paraId="388793A0" w14:textId="08C8FD44" w:rsidR="00355BD5" w:rsidRDefault="009E4636">
      <w:pPr>
        <w:ind w:left="2410" w:hanging="1701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 xml:space="preserve">4 straipsnio 2, 3, 6 dalių papildymas ir pakeitimas ir straipsnio papildymas nauja 8 dalimi </w:t>
      </w:r>
    </w:p>
    <w:p w14:paraId="388793A1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4 straipsnio 2 dalyje po žodžio „tapatybę“ įrašyti žodžius „ir kitus pageidaujamus sertifikate nu</w:t>
      </w:r>
      <w:r>
        <w:rPr>
          <w:color w:val="000000"/>
        </w:rPr>
        <w:t>rodyti duomenis“ ir šią dalį išdėstyti taip:</w:t>
      </w:r>
    </w:p>
    <w:p w14:paraId="388793A2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Fizinis asmuo, prašantis sertifikavimo paslaugų teikėjo sudaryti jo sertifikatą, privalo pateikti tapatybę ir kitus pageidaujamus sertifikate nurodyti duomenis patvirtinančius dokumentus.“</w:t>
      </w:r>
    </w:p>
    <w:p w14:paraId="388793A3" w14:textId="77777777" w:rsidR="00355BD5" w:rsidRDefault="009E4636">
      <w:pPr>
        <w:ind w:firstLine="708"/>
        <w:jc w:val="both"/>
        <w:rPr>
          <w:i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4 str</w:t>
      </w:r>
      <w:r>
        <w:rPr>
          <w:color w:val="000000"/>
        </w:rPr>
        <w:t>aipsnio 3 dalyje išbraukti žodžius „asmens tapatybę patvirtinančių“ ir šią dalį išdėstyti taip:</w:t>
      </w:r>
    </w:p>
    <w:p w14:paraId="388793A4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Fizinis asmuo, kurio prašymu buvo sudarytas sertifikatas, už pateiktų dokumentų tikrumą atsako pagal Lietuvos Respublikos įstatymus.“</w:t>
      </w:r>
    </w:p>
    <w:p w14:paraId="388793A5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4 straips</w:t>
      </w:r>
      <w:r>
        <w:rPr>
          <w:color w:val="000000"/>
        </w:rPr>
        <w:t>nio 6 dalį papildyti nauju 8 punktu:</w:t>
      </w:r>
    </w:p>
    <w:p w14:paraId="388793A6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) asmens, kuriam pagal sertifikate nurodytą informaciją pasirašantis asmuo turi teisę atstovauti, prašymu;“.</w:t>
      </w:r>
    </w:p>
    <w:p w14:paraId="388793A7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Buvusį 4 straipsnio 6 dalies 8 punktą laikyti 9 punktu.</w:t>
      </w:r>
    </w:p>
    <w:p w14:paraId="388793A8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4 straipsnį papildyti nauja 8 dalimi: </w:t>
      </w:r>
    </w:p>
    <w:p w14:paraId="388793A9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 xml:space="preserve">. Pasirašantis asmuo privalo nedelsdamas pranešti jo sertifikatą sudariusiam sertifikavimo paslaugų teikėjui apie duomenų, nurodytų sertifikate, pasikeitimus, pateikdamas tai patvirtinančius dokumentus. Duomenų </w:t>
      </w:r>
      <w:r>
        <w:rPr>
          <w:color w:val="000000"/>
        </w:rPr>
        <w:t>pasikeitimą patvirtinančių dokumentų nereikia pateikti, jei pranešama apie teisių, nurodytų sertifikate, apimties sumažėjimą.“</w:t>
      </w:r>
    </w:p>
    <w:p w14:paraId="388793AA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Buvusią 4 straipsnio 8 dalį laikyti 9 dalimi.</w:t>
      </w:r>
    </w:p>
    <w:p w14:paraId="388793AB" w14:textId="77777777" w:rsidR="00355BD5" w:rsidRDefault="009E4636">
      <w:pPr>
        <w:ind w:firstLine="708"/>
        <w:jc w:val="both"/>
        <w:rPr>
          <w:b/>
          <w:color w:val="000000"/>
        </w:rPr>
      </w:pPr>
    </w:p>
    <w:p w14:paraId="388793AC" w14:textId="77777777" w:rsidR="00355BD5" w:rsidRDefault="009E463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papildymas 3 ir 4 dalimis</w:t>
      </w:r>
    </w:p>
    <w:p w14:paraId="388793AD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>Papildyti 8 straipsnį 3 dalimi:</w:t>
      </w:r>
    </w:p>
    <w:p w14:paraId="388793AE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Elektroninis parašas visais atvejais turi šio straipsnio 1 dalyje įtvirtintą teisinę galią, jeigu parašų naudotojai tarpusavyje dėl to susitaria.“</w:t>
      </w:r>
    </w:p>
    <w:p w14:paraId="388793AF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8 straipsnį 4 dalimi:</w:t>
      </w:r>
    </w:p>
    <w:p w14:paraId="388793B0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Juridinio asmens atsto</w:t>
      </w:r>
      <w:r>
        <w:rPr>
          <w:color w:val="000000"/>
        </w:rPr>
        <w:t>vo elektroninio parašo galia yra prilyginama juridinio asmens atstovo parašo, patvirtinto juridinio asmens antspaudu, galiai rašytiniuose dokumentuose, atsižvelgiant į elektroninio parašo galią pagal šio straipsnio 1, 2 ir 3 dalis.“</w:t>
      </w:r>
    </w:p>
    <w:p w14:paraId="388793B1" w14:textId="77777777" w:rsidR="00355BD5" w:rsidRDefault="009E4636">
      <w:pPr>
        <w:ind w:firstLine="708"/>
        <w:jc w:val="both"/>
        <w:rPr>
          <w:b/>
          <w:color w:val="000000"/>
        </w:rPr>
      </w:pPr>
    </w:p>
    <w:p w14:paraId="388793B2" w14:textId="77777777" w:rsidR="00355BD5" w:rsidRDefault="009E463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14 straipsnio 2 dalies papildymas nauju 11 punktu</w:t>
      </w:r>
    </w:p>
    <w:p w14:paraId="388793B3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14 straipsnio 2 dalį nauju 11 punktu:</w:t>
      </w:r>
    </w:p>
    <w:p w14:paraId="388793B4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) ne vėliau kaip iki kiekvienų metų balandžio 1 d. parengia kasmetines šio įstatymo įgyvendinimo ataskaitas ir jas pateikia Vyriausybei ir Seimu</w:t>
      </w:r>
      <w:r>
        <w:rPr>
          <w:color w:val="000000"/>
        </w:rPr>
        <w:t>i;“.</w:t>
      </w:r>
    </w:p>
    <w:p w14:paraId="388793B5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Buvusį 14 straipsnio 2 dalies 11 punktą laikyti 12 punktu.</w:t>
      </w:r>
    </w:p>
    <w:p w14:paraId="7CA61F9C" w14:textId="77777777" w:rsidR="009E4636" w:rsidRDefault="009E4636">
      <w:pPr>
        <w:ind w:firstLine="708"/>
      </w:pPr>
    </w:p>
    <w:p w14:paraId="388793B6" w14:textId="77777777" w:rsidR="00355BD5" w:rsidRDefault="009E4636">
      <w:pPr>
        <w:ind w:firstLine="708"/>
      </w:pPr>
    </w:p>
    <w:p w14:paraId="388793B7" w14:textId="77777777" w:rsidR="00355BD5" w:rsidRDefault="009E463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16 straipsnio 1 dalies pakeitimas</w:t>
      </w:r>
    </w:p>
    <w:p w14:paraId="388793B8" w14:textId="77777777" w:rsidR="00355BD5" w:rsidRDefault="009E4636">
      <w:pPr>
        <w:ind w:firstLine="708"/>
        <w:rPr>
          <w:color w:val="000000"/>
        </w:rPr>
      </w:pPr>
      <w:r>
        <w:rPr>
          <w:color w:val="000000"/>
        </w:rPr>
        <w:t>Pakeisti 16 straipsnio 1 dalį ir ją išdėstyti taip:</w:t>
      </w:r>
    </w:p>
    <w:bookmarkStart w:id="0" w:name="_GoBack" w:displacedByCustomXml="prev"/>
    <w:p w14:paraId="388793B9" w14:textId="77777777" w:rsidR="00355BD5" w:rsidRDefault="009E463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Teisės aktus, kuriuos pagal šio įstatymo 14 straipsnio 2 dalies 1,</w:t>
      </w:r>
      <w:r>
        <w:rPr>
          <w:color w:val="000000"/>
        </w:rPr>
        <w:t xml:space="preserve"> 2 ir 6 punktus rengia elektroninio parašo priežiūros institucija, tvirtina Vyriausybė.“</w:t>
      </w:r>
    </w:p>
    <w:p w14:paraId="388793BA" w14:textId="77777777" w:rsidR="00355BD5" w:rsidRDefault="00355BD5">
      <w:pPr>
        <w:ind w:firstLine="708"/>
      </w:pPr>
    </w:p>
    <w:p w14:paraId="388793BB" w14:textId="77777777" w:rsidR="00355BD5" w:rsidRDefault="009E4636">
      <w:pPr>
        <w:ind w:firstLine="708"/>
      </w:pPr>
    </w:p>
    <w:bookmarkEnd w:id="0" w:displacedByCustomXml="next"/>
    <w:p w14:paraId="388793BC" w14:textId="77777777" w:rsidR="00355BD5" w:rsidRDefault="009E4636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388793BD" w14:textId="77777777" w:rsidR="00355BD5" w:rsidRDefault="00355BD5">
      <w:pPr>
        <w:ind w:firstLine="708"/>
      </w:pPr>
    </w:p>
    <w:p w14:paraId="24FF4252" w14:textId="77777777" w:rsidR="009E4636" w:rsidRDefault="009E4636">
      <w:pPr>
        <w:ind w:firstLine="708"/>
      </w:pPr>
    </w:p>
    <w:p w14:paraId="6FA00234" w14:textId="77777777" w:rsidR="009E4636" w:rsidRDefault="009E4636">
      <w:pPr>
        <w:ind w:firstLine="708"/>
      </w:pPr>
    </w:p>
    <w:p w14:paraId="388793BE" w14:textId="77777777" w:rsidR="00355BD5" w:rsidRDefault="009E4636" w:rsidP="009E4636">
      <w:pPr>
        <w:tabs>
          <w:tab w:val="right" w:pos="9356"/>
        </w:tabs>
      </w:pPr>
      <w:r>
        <w:t>RESPUBLIKOS PREZIDENTAS</w:t>
      </w:r>
      <w:r>
        <w:tab/>
        <w:t>VALDAS ADAMKUS</w:t>
      </w:r>
    </w:p>
    <w:p w14:paraId="388793C0" w14:textId="77777777" w:rsidR="00355BD5" w:rsidRDefault="009E4636">
      <w:pPr>
        <w:jc w:val="center"/>
      </w:pPr>
    </w:p>
    <w:sectPr w:rsidR="00355BD5" w:rsidSect="009E4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93C4" w14:textId="77777777" w:rsidR="00355BD5" w:rsidRDefault="009E4636">
      <w:r>
        <w:separator/>
      </w:r>
    </w:p>
  </w:endnote>
  <w:endnote w:type="continuationSeparator" w:id="0">
    <w:p w14:paraId="388793C5" w14:textId="77777777" w:rsidR="00355BD5" w:rsidRDefault="009E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3CA" w14:textId="77777777" w:rsidR="00355BD5" w:rsidRDefault="009E463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88793CB" w14:textId="77777777" w:rsidR="00355BD5" w:rsidRDefault="00355BD5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3CC" w14:textId="77777777" w:rsidR="00355BD5" w:rsidRDefault="009E463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388793CD" w14:textId="77777777" w:rsidR="00355BD5" w:rsidRDefault="00355BD5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3CF" w14:textId="77777777" w:rsidR="00355BD5" w:rsidRDefault="00355BD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93C2" w14:textId="77777777" w:rsidR="00355BD5" w:rsidRDefault="009E4636">
      <w:r>
        <w:separator/>
      </w:r>
    </w:p>
  </w:footnote>
  <w:footnote w:type="continuationSeparator" w:id="0">
    <w:p w14:paraId="388793C3" w14:textId="77777777" w:rsidR="00355BD5" w:rsidRDefault="009E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3C6" w14:textId="77777777" w:rsidR="00355BD5" w:rsidRDefault="009E463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88793C7" w14:textId="77777777" w:rsidR="00355BD5" w:rsidRDefault="00355BD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3C8" w14:textId="77777777" w:rsidR="00355BD5" w:rsidRDefault="009E463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88793C9" w14:textId="77777777" w:rsidR="00355BD5" w:rsidRDefault="00355BD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3CE" w14:textId="77777777" w:rsidR="00355BD5" w:rsidRDefault="00355BD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8"/>
    <w:rsid w:val="00234C98"/>
    <w:rsid w:val="00355BD5"/>
    <w:rsid w:val="009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79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82345294FB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1877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2015-08-28T18:52:00Z</dcterms:created>
  <dc:creator>marina.buivid@gmail.com</dc:creator>
  <lastModifiedBy>TRAPINSKIENĖ Aušrinė</lastModifiedBy>
  <dcterms:modified xsi:type="dcterms:W3CDTF">2018-05-14T13:11:00Z</dcterms:modified>
  <revision>3</revision>
</coreProperties>
</file>