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370D" w14:textId="025D5FC0" w:rsidR="0053476F" w:rsidRDefault="0059507F">
      <w:pPr>
        <w:jc w:val="center"/>
        <w:rPr>
          <w:lang w:eastAsia="lt-LT"/>
        </w:rPr>
      </w:pPr>
      <w:r>
        <w:rPr>
          <w:lang w:val="en-US"/>
        </w:rPr>
        <w:pict w14:anchorId="370B37A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lang w:eastAsia="lt-LT"/>
        </w:rPr>
        <w:t xml:space="preserve">VALSTYBINĖS KELIŲ TRANSPORTO INSPEKCIJOS </w:t>
      </w:r>
    </w:p>
    <w:p w14:paraId="370B370E" w14:textId="77777777" w:rsidR="0053476F" w:rsidRDefault="0059507F">
      <w:pPr>
        <w:jc w:val="center"/>
        <w:rPr>
          <w:lang w:eastAsia="lt-LT"/>
        </w:rPr>
      </w:pPr>
      <w:r>
        <w:rPr>
          <w:lang w:eastAsia="lt-LT"/>
        </w:rPr>
        <w:t>PRIE SUSISIEKIMO MINISTERIJOS VIRŠININKO</w:t>
      </w:r>
    </w:p>
    <w:p w14:paraId="370B370F" w14:textId="77777777" w:rsidR="0053476F" w:rsidRDefault="0059507F"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370B3710" w14:textId="77777777" w:rsidR="0053476F" w:rsidRDefault="0053476F">
      <w:pPr>
        <w:jc w:val="center"/>
        <w:rPr>
          <w:spacing w:val="60"/>
          <w:lang w:eastAsia="lt-LT"/>
        </w:rPr>
      </w:pPr>
    </w:p>
    <w:p w14:paraId="370B3711" w14:textId="77777777" w:rsidR="0053476F" w:rsidRDefault="0059507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VALSTYBINĖS KELIŲ TRANSPORTO INSPEKCIJOS PRIE SUSISIEKIMO MINISTERIJOS VIRŠININKO 2008 M. LIEPOS 29 D. ĮSAKYMO NR. 2B-290 „D</w:t>
      </w:r>
      <w:r>
        <w:rPr>
          <w:b/>
          <w:bCs/>
          <w:lang w:eastAsia="lt-LT"/>
        </w:rPr>
        <w:t>ĖL TECHNINIŲ MOTORINIŲ TRANSPORTO PRIEMONIŲ IR JŲ PRIEKABŲ REIKALAVIMŲ“ PAKEITIMO</w:t>
      </w:r>
    </w:p>
    <w:p w14:paraId="370B3712" w14:textId="77777777" w:rsidR="0053476F" w:rsidRDefault="0053476F">
      <w:pPr>
        <w:jc w:val="center"/>
        <w:rPr>
          <w:lang w:eastAsia="lt-LT"/>
        </w:rPr>
      </w:pPr>
    </w:p>
    <w:p w14:paraId="370B3713" w14:textId="77777777" w:rsidR="0053476F" w:rsidRDefault="0059507F">
      <w:pPr>
        <w:jc w:val="center"/>
        <w:rPr>
          <w:lang w:eastAsia="lt-LT"/>
        </w:rPr>
      </w:pPr>
      <w:r>
        <w:rPr>
          <w:lang w:eastAsia="lt-LT"/>
        </w:rPr>
        <w:t>2009 m. balandžio 24 d. Nr. 2B-157</w:t>
      </w:r>
    </w:p>
    <w:p w14:paraId="370B3714" w14:textId="77777777" w:rsidR="0053476F" w:rsidRDefault="0059507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70B3715" w14:textId="77777777" w:rsidR="0053476F" w:rsidRDefault="0053476F">
      <w:pPr>
        <w:rPr>
          <w:lang w:eastAsia="lt-LT"/>
        </w:rPr>
      </w:pPr>
    </w:p>
    <w:p w14:paraId="370B3716" w14:textId="77777777" w:rsidR="0053476F" w:rsidRDefault="0059507F"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Techninius motorinių transporto priemonių ir jų priekabų reikalavimus, patvirtintus Valstybinės kelių transporto inspekc</w:t>
      </w:r>
      <w:r>
        <w:rPr>
          <w:lang w:eastAsia="lt-LT"/>
        </w:rPr>
        <w:t>ijos prie Susisiekimo ministerijos viršininko 2008 m. liepos 29 d. įsakymu Nr. 2B-290 „Dėl Techninių motorinių transporto priemonių ir jų priekabų reikalavimų“ (</w:t>
      </w:r>
      <w:proofErr w:type="spellStart"/>
      <w:r>
        <w:rPr>
          <w:lang w:eastAsia="lt-LT"/>
        </w:rPr>
        <w:t>Žin</w:t>
      </w:r>
      <w:proofErr w:type="spellEnd"/>
      <w:r>
        <w:rPr>
          <w:lang w:eastAsia="lt-LT"/>
        </w:rPr>
        <w:t xml:space="preserve">., 2008, Nr. </w:t>
      </w:r>
      <w:hyperlink r:id="rId8" w:tgtFrame="_blank" w:history="1">
        <w:r>
          <w:rPr>
            <w:color w:val="0000FF" w:themeColor="hyperlink"/>
            <w:u w:val="single"/>
            <w:lang w:eastAsia="lt-LT"/>
          </w:rPr>
          <w:t>88-3550</w:t>
        </w:r>
      </w:hyperlink>
      <w:r>
        <w:rPr>
          <w:lang w:eastAsia="lt-LT"/>
        </w:rPr>
        <w:t xml:space="preserve">; 2009, Nr. </w:t>
      </w:r>
      <w:hyperlink r:id="rId9" w:tgtFrame="_blank" w:history="1">
        <w:r>
          <w:rPr>
            <w:color w:val="0000FF" w:themeColor="hyperlink"/>
            <w:u w:val="single"/>
            <w:lang w:eastAsia="lt-LT"/>
          </w:rPr>
          <w:t>6-212</w:t>
        </w:r>
      </w:hyperlink>
      <w:r>
        <w:rPr>
          <w:lang w:eastAsia="lt-LT"/>
        </w:rPr>
        <w:t>):</w:t>
      </w:r>
    </w:p>
    <w:p w14:paraId="370B3717" w14:textId="77777777" w:rsidR="0053476F" w:rsidRDefault="0059507F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išdėstau 201 kodą taip:</w:t>
      </w:r>
    </w:p>
    <w:p w14:paraId="370B3718" w14:textId="77777777" w:rsidR="0053476F" w:rsidRDefault="0059507F">
      <w:pPr>
        <w:rPr>
          <w:lang w:eastAsia="lt-LT"/>
        </w:rPr>
      </w:pPr>
      <w:r>
        <w:rPr>
          <w:lang w:eastAsia="lt-LT"/>
        </w:rPr>
        <w:t>„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3977"/>
        <w:gridCol w:w="1149"/>
        <w:gridCol w:w="1149"/>
        <w:gridCol w:w="1149"/>
      </w:tblGrid>
      <w:tr w:rsidR="0053476F" w14:paraId="370B371B" w14:textId="77777777">
        <w:trPr>
          <w:cantSplit/>
          <w:trHeight w:val="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19" w14:textId="77777777" w:rsidR="0053476F" w:rsidRDefault="0059507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Kodas</w:t>
            </w:r>
          </w:p>
        </w:tc>
        <w:tc>
          <w:tcPr>
            <w:tcW w:w="74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1A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Žibintų ir atšvaitų konstrukcija bei techninė būklė</w:t>
            </w:r>
          </w:p>
        </w:tc>
      </w:tr>
      <w:tr w:rsidR="0053476F" w14:paraId="370B371E" w14:textId="77777777">
        <w:trPr>
          <w:cantSplit/>
          <w:trHeight w:val="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1C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74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1D" w14:textId="77777777" w:rsidR="0053476F" w:rsidRDefault="0053476F">
            <w:pPr>
              <w:jc w:val="center"/>
              <w:rPr>
                <w:sz w:val="22"/>
              </w:rPr>
            </w:pPr>
          </w:p>
        </w:tc>
      </w:tr>
      <w:tr w:rsidR="0053476F" w14:paraId="370B3720" w14:textId="77777777">
        <w:trPr>
          <w:cantSplit/>
          <w:trHeight w:val="23"/>
        </w:trPr>
        <w:tc>
          <w:tcPr>
            <w:tcW w:w="9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1F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Techniniai reikalavimai</w:t>
            </w:r>
          </w:p>
        </w:tc>
      </w:tr>
      <w:tr w:rsidR="0053476F" w14:paraId="370B372B" w14:textId="77777777">
        <w:trPr>
          <w:cantSplit/>
          <w:trHeight w:val="23"/>
        </w:trPr>
        <w:tc>
          <w:tcPr>
            <w:tcW w:w="9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21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1. Žibintai ir jų elementai</w:t>
            </w:r>
            <w:r>
              <w:rPr>
                <w:sz w:val="22"/>
              </w:rPr>
              <w:t xml:space="preserve"> privalo būti patikimai ir taisyklingai pritvirtinti (užfiksuoti).</w:t>
            </w:r>
          </w:p>
          <w:p w14:paraId="370B3722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2. Transporto priemonėje įrengtų apšvietimo ir šviesos signalizacijos prietaisų konstrukcija, skaičius, išdėstymas ir spalvinė gama turi atitikti jos gamybos metu galiojusius reikalavimus a</w:t>
            </w:r>
            <w:r>
              <w:rPr>
                <w:sz w:val="22"/>
              </w:rPr>
              <w:t xml:space="preserve">rba gamintojo numatytą konstrukciją. Žibinte įrengtas šviesos šaltinis (kaitrinė lemputė, dujų išlydžio lemputė, šviesos diodas </w:t>
            </w:r>
            <w:r>
              <w:rPr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LED</w:t>
            </w:r>
            <w:r>
              <w:rPr>
                <w:iCs/>
                <w:sz w:val="22"/>
              </w:rPr>
              <w:t xml:space="preserve">) </w:t>
            </w:r>
            <w:r>
              <w:rPr>
                <w:sz w:val="22"/>
              </w:rPr>
              <w:t xml:space="preserve">ar kt.) turi atitikti to žibinto gamintojo numatytą šviesos šaltinį ir žibinto </w:t>
            </w:r>
            <w:proofErr w:type="spellStart"/>
            <w:r>
              <w:rPr>
                <w:sz w:val="22"/>
              </w:rPr>
              <w:t>komplektaciją</w:t>
            </w:r>
            <w:proofErr w:type="spellEnd"/>
            <w:r>
              <w:rPr>
                <w:sz w:val="22"/>
              </w:rPr>
              <w:t xml:space="preserve"> (valymo, reguliavimo ir kt. </w:t>
            </w:r>
            <w:r>
              <w:rPr>
                <w:sz w:val="22"/>
              </w:rPr>
              <w:t>įranga).</w:t>
            </w:r>
          </w:p>
          <w:p w14:paraId="370B3723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Transporto priemonių, kurioms atitikties įvertinimas taikytinas po 2004 m. gegužės 1 d. pagal Naudotų kelių transporto priemonių atitikties įvertinimo taisykles, patvirtintas Valstybinės kelių transporto inspekcijos prie Susisiekimo ministerijos v</w:t>
            </w:r>
            <w:r>
              <w:rPr>
                <w:sz w:val="22"/>
              </w:rPr>
              <w:t>iršininko 2003 m. gruodžio 18 d. įsakymu Nr. 2B-391 (</w:t>
            </w:r>
            <w:proofErr w:type="spellStart"/>
            <w:r>
              <w:rPr>
                <w:sz w:val="22"/>
              </w:rPr>
              <w:t>Žin</w:t>
            </w:r>
            <w:proofErr w:type="spellEnd"/>
            <w:r>
              <w:rPr>
                <w:sz w:val="22"/>
              </w:rPr>
              <w:t xml:space="preserve">., 2003, Nr. </w:t>
            </w:r>
            <w:hyperlink r:id="rId10" w:tgtFrame="_blank" w:history="1">
              <w:r>
                <w:rPr>
                  <w:color w:val="0000FF" w:themeColor="hyperlink"/>
                  <w:sz w:val="22"/>
                  <w:u w:val="single"/>
                </w:rPr>
                <w:t>122-5567</w:t>
              </w:r>
            </w:hyperlink>
            <w:r>
              <w:rPr>
                <w:sz w:val="22"/>
              </w:rPr>
              <w:t xml:space="preserve">) (toliau – Naudotų kelių transporto priemonių atitikties įvertinimo taisyklės), įrengtų apšvietimo </w:t>
            </w:r>
            <w:r>
              <w:rPr>
                <w:sz w:val="22"/>
              </w:rPr>
              <w:t>ir šviesos signalizacijos prietaisų konstrukcija, skaičius, išdėstymas ir spalvinė gama turi atitikti Naudotų kelių transporto priemonių atitikties įvertinimo taisyklių reikalavimus.</w:t>
            </w:r>
          </w:p>
          <w:p w14:paraId="370B3724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Sklaidytuvai</w:t>
            </w:r>
            <w:proofErr w:type="spellEnd"/>
            <w:r>
              <w:rPr>
                <w:sz w:val="22"/>
              </w:rPr>
              <w:t xml:space="preserve"> turi būti švarūs, be didesnių įtrūkimų ar kitų pažeidimų </w:t>
            </w:r>
            <w:r>
              <w:rPr>
                <w:sz w:val="22"/>
              </w:rPr>
              <w:t>ir neturi būti išblukę.</w:t>
            </w:r>
          </w:p>
          <w:p w14:paraId="370B3725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4. Reflektoriai turi būti nedeformuoti, vidinis paviršius neturi būti pastebimai praradęs atspindinčių savybių arba paveiktas korozijos.</w:t>
            </w:r>
          </w:p>
          <w:p w14:paraId="370B3726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 xml:space="preserve">5. Draudžiamas bet koks </w:t>
            </w:r>
            <w:proofErr w:type="spellStart"/>
            <w:r>
              <w:rPr>
                <w:sz w:val="22"/>
              </w:rPr>
              <w:t>sklaidytuvų</w:t>
            </w:r>
            <w:proofErr w:type="spellEnd"/>
            <w:r>
              <w:rPr>
                <w:sz w:val="22"/>
              </w:rPr>
              <w:t xml:space="preserve"> uždengimas, apdirbimas ir techninių savybių keitimas.</w:t>
            </w:r>
          </w:p>
          <w:p w14:paraId="370B3727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6. Dr</w:t>
            </w:r>
            <w:r>
              <w:rPr>
                <w:sz w:val="22"/>
              </w:rPr>
              <w:t>audžiama dažyti lemputes.</w:t>
            </w:r>
          </w:p>
          <w:p w14:paraId="370B3728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7. Posūkių rodikliai ir avarinės signalizacijos žibintai turi mirksėti nustatytu dažniu, visi kiti žibintai – ne.</w:t>
            </w:r>
          </w:p>
          <w:p w14:paraId="370B3729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8. Draudžiama naudoti nenumatytus arba draudžiamus naudoti apšvietimo ir šviesos signalizacijos prietaisus.</w:t>
            </w:r>
          </w:p>
          <w:p w14:paraId="370B372A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9. Jeigu</w:t>
            </w:r>
            <w:r>
              <w:rPr>
                <w:sz w:val="22"/>
              </w:rPr>
              <w:t xml:space="preserve"> tos pačios paskirties žibintų skaičius yra porinis, tos pačios paskirties vienos poros žibintai turi būti vienodi ir simetriškai išdėstyti.</w:t>
            </w:r>
          </w:p>
        </w:tc>
      </w:tr>
      <w:tr w:rsidR="0053476F" w14:paraId="370B3733" w14:textId="77777777">
        <w:trPr>
          <w:cantSplit/>
          <w:trHeight w:val="2040"/>
        </w:trPr>
        <w:tc>
          <w:tcPr>
            <w:tcW w:w="90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B372C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lastRenderedPageBreak/>
              <w:t>Kontrolė atliekama apžiūrint ir tikrinant.</w:t>
            </w:r>
          </w:p>
          <w:p w14:paraId="370B372D" w14:textId="77777777" w:rsidR="0053476F" w:rsidRDefault="0053476F">
            <w:pPr>
              <w:ind w:firstLine="200"/>
              <w:rPr>
                <w:sz w:val="22"/>
              </w:rPr>
            </w:pPr>
          </w:p>
          <w:p w14:paraId="370B372E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PASTABOS:</w:t>
            </w:r>
          </w:p>
          <w:p w14:paraId="370B372F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1. Šio kodo reikalavimai taikomi tikrinant transporto priemo</w:t>
            </w:r>
            <w:r>
              <w:rPr>
                <w:sz w:val="22"/>
              </w:rPr>
              <w:t>nes pagal 202-207 ir 209-213 kodus.</w:t>
            </w:r>
          </w:p>
          <w:p w14:paraId="370B3730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2. Leidžiama įrengti kitų markių ir modelių transporto priemonių apšvietimo ir šviesos signalizacijos prietaisus, tačiau jei tai yra artimųjų ar tolimųjų šviesų žibintai, tuomet turi būti atlikta techninė ekspertizė.</w:t>
            </w:r>
          </w:p>
          <w:p w14:paraId="370B3731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Šio kodo 5 punkto reikalavimai netaikomi krašto apsaugos sistemoje naudojamoms transporto priemonėms.</w:t>
            </w:r>
          </w:p>
          <w:p w14:paraId="370B3732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38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34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Techninės būklės vertinimo kriterijai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35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NT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36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DT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37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DE</w:t>
            </w:r>
          </w:p>
        </w:tc>
      </w:tr>
      <w:tr w:rsidR="0053476F" w14:paraId="370B373D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9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nepatikimai pritvirtinti žibintai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A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B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C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42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E" w14:textId="77777777" w:rsidR="0053476F" w:rsidRDefault="005950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sklaidytuvai</w:t>
            </w:r>
            <w:proofErr w:type="spellEnd"/>
            <w:r>
              <w:rPr>
                <w:sz w:val="22"/>
              </w:rPr>
              <w:t xml:space="preserve"> nešvarūs, pažeisti, išblukę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3F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0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1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47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3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 xml:space="preserve">pažeisti </w:t>
            </w:r>
            <w:r>
              <w:rPr>
                <w:sz w:val="22"/>
              </w:rPr>
              <w:t>reflektoriai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4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5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6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4C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8" w14:textId="77777777" w:rsidR="0053476F" w:rsidRDefault="005950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sklaidytuvai</w:t>
            </w:r>
            <w:proofErr w:type="spellEnd"/>
            <w:r>
              <w:rPr>
                <w:sz w:val="22"/>
              </w:rPr>
              <w:t xml:space="preserve"> papildomai uždengti, pakeistos jų techninės savybės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9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A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B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51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D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naudojamos dažytos lemputės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E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4F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0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56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2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žibintai, išskyrus posūkių rodiklius, mirksi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3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4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5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5B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7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panaudoti nenumatyti arba draudžiami apšvietimo ir šviesos signalizacijos prietaisai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8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9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A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60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C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transporto priemonės apšvietimo ir šviesos signalizacijos prietaisų konstrukcija, skaičius, išdėstymas ar spalvinė gama neatitinka jos gamybos metu galiojusių reikalavimų arba gamintojo numatytos konstrukcijos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D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E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5F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65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1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 xml:space="preserve">žibinte įrengtas šviesos šaltinis (kaitrinė lemputė, dujų išlydžio lemputė, šviesos diodas </w:t>
            </w:r>
            <w:r>
              <w:rPr>
                <w:bCs/>
                <w:sz w:val="22"/>
              </w:rPr>
              <w:t>(</w:t>
            </w:r>
            <w:r>
              <w:rPr>
                <w:bCs/>
                <w:i/>
                <w:sz w:val="22"/>
              </w:rPr>
              <w:t>LED</w:t>
            </w:r>
            <w:r>
              <w:rPr>
                <w:bCs/>
                <w:sz w:val="22"/>
              </w:rPr>
              <w:t>)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ar kt.) neatitinka to žibinto gamintojo numatyto šviesos šaltinio ir žibinto </w:t>
            </w:r>
            <w:proofErr w:type="spellStart"/>
            <w:r>
              <w:rPr>
                <w:sz w:val="22"/>
              </w:rPr>
              <w:t>komplektacijos</w:t>
            </w:r>
            <w:proofErr w:type="spellEnd"/>
            <w:r>
              <w:rPr>
                <w:sz w:val="22"/>
              </w:rPr>
              <w:t xml:space="preserve"> (valymo, reguliavimo ir kt. įranga)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2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3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4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6A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6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transporto priemonių, kuri</w:t>
            </w:r>
            <w:r>
              <w:rPr>
                <w:sz w:val="22"/>
              </w:rPr>
              <w:t>oms atitikties įvertinimas taikytinas po 2004 m. gegužės 1 d. pagal Naudotų kelių transporto priemonių atitikties įvertinimo taisykles, įrengtų apšvietimo ir šviesos signalizacijos prietaisų konstrukcija, skaičius, išdėstymas ir spalvinė gama neatitinka Na</w:t>
            </w:r>
            <w:r>
              <w:rPr>
                <w:sz w:val="22"/>
              </w:rPr>
              <w:t>udotų kelių transporto priemonių atitikties įvertinimo taisyklių reikalavimų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7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8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9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6F" w14:textId="77777777">
        <w:trPr>
          <w:cantSplit/>
          <w:trHeight w:val="23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B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nevienodi ar nesimetriškai išdėstyti tos pačios paskirties vienos poros žibintai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C" w14:textId="77777777" w:rsidR="0053476F" w:rsidRDefault="0053476F">
            <w:pPr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D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6E" w14:textId="77777777" w:rsidR="0053476F" w:rsidRDefault="0053476F">
            <w:pPr>
              <w:rPr>
                <w:sz w:val="22"/>
              </w:rPr>
            </w:pPr>
          </w:p>
        </w:tc>
      </w:tr>
    </w:tbl>
    <w:p w14:paraId="23206FE3" w14:textId="77777777" w:rsidR="0053476F" w:rsidRDefault="0059507F"/>
    <w:p w14:paraId="370B3770" w14:textId="77777777" w:rsidR="0053476F" w:rsidRDefault="0059507F">
      <w:pPr>
        <w:jc w:val="right"/>
      </w:pPr>
      <w:r>
        <w:t>“;</w:t>
      </w:r>
    </w:p>
    <w:p w14:paraId="370B3771" w14:textId="14CF07A2" w:rsidR="0053476F" w:rsidRDefault="0059507F">
      <w:pPr>
        <w:ind w:firstLine="567"/>
        <w:jc w:val="both"/>
      </w:pPr>
      <w:r>
        <w:t>2</w:t>
      </w:r>
      <w:r>
        <w:t>. išdėstau 211 kodą taip:</w:t>
      </w:r>
    </w:p>
    <w:p w14:paraId="370B3772" w14:textId="77777777" w:rsidR="0053476F" w:rsidRDefault="0059507F">
      <w:r>
        <w:t>„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6"/>
        <w:gridCol w:w="3984"/>
        <w:gridCol w:w="1102"/>
        <w:gridCol w:w="1172"/>
        <w:gridCol w:w="1172"/>
      </w:tblGrid>
      <w:tr w:rsidR="0053476F" w14:paraId="370B3775" w14:textId="77777777">
        <w:trPr>
          <w:cantSplit/>
          <w:trHeight w:val="22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73" w14:textId="01C872DE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Kodas</w:t>
            </w:r>
          </w:p>
        </w:tc>
        <w:tc>
          <w:tcPr>
            <w:tcW w:w="74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74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Atbulinės eigos žibintas (-ai)</w:t>
            </w:r>
          </w:p>
        </w:tc>
      </w:tr>
      <w:tr w:rsidR="0053476F" w14:paraId="370B3778" w14:textId="77777777">
        <w:trPr>
          <w:cantSplit/>
          <w:trHeight w:val="22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76" w14:textId="77777777" w:rsidR="0053476F" w:rsidRDefault="0059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74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77" w14:textId="77777777" w:rsidR="0053476F" w:rsidRDefault="0053476F">
            <w:pPr>
              <w:jc w:val="center"/>
              <w:rPr>
                <w:sz w:val="22"/>
              </w:rPr>
            </w:pPr>
          </w:p>
        </w:tc>
      </w:tr>
      <w:tr w:rsidR="0053476F" w14:paraId="370B377A" w14:textId="77777777">
        <w:trPr>
          <w:cantSplit/>
          <w:trHeight w:val="22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79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Techniniai reikalavimai</w:t>
            </w:r>
          </w:p>
        </w:tc>
      </w:tr>
      <w:tr w:rsidR="0053476F" w14:paraId="370B377E" w14:textId="77777777">
        <w:trPr>
          <w:cantSplit/>
          <w:trHeight w:val="22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7B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1. Privalo įsijungti (išsijungti), įjungus (išjungus) atbulinės eigos pavarą, kai įtaisas varikliui paleisti (užgesinti) yra padėtyje, atitinkančioje variklio darbo režimą; jei bent viena iš sąlygų neįvykdyta, žibintas (-ai) turi n</w:t>
            </w:r>
            <w:r>
              <w:rPr>
                <w:sz w:val="22"/>
              </w:rPr>
              <w:t>eįsijungti.</w:t>
            </w:r>
          </w:p>
          <w:p w14:paraId="370B377C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2. Skaičius – 1 arba 2.</w:t>
            </w:r>
          </w:p>
          <w:p w14:paraId="370B377D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3. Skleidžiama spalva – balta.</w:t>
            </w:r>
          </w:p>
        </w:tc>
      </w:tr>
      <w:tr w:rsidR="0053476F" w14:paraId="370B3784" w14:textId="77777777">
        <w:trPr>
          <w:cantSplit/>
          <w:trHeight w:val="2040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B377F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lastRenderedPageBreak/>
              <w:t>4. Papildomai įrengti atbulinės eigos žibintai turi atitikti Pagrindinių techninių reikalavimų kelių transporto priemonėms, patvirtintų Lietuvos Respublikos susisiekimo ministro 1998 m. ru</w:t>
            </w:r>
            <w:r>
              <w:rPr>
                <w:sz w:val="22"/>
              </w:rPr>
              <w:t>gsėjo 11 d. įsakymu Nr. 348 (toliau – Pagrindiniai techniniai reikalavimai), I dalies, I skyriaus 2.4 punkto reikalavimus. Papildomiems žibintams gali būti įrengtas atskiras jungiklis, kai įvykdomos 1 punkte paminėtos sąlygos.</w:t>
            </w:r>
          </w:p>
          <w:p w14:paraId="370B3780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5. Privalo atitikti nustatytu</w:t>
            </w:r>
            <w:r>
              <w:rPr>
                <w:sz w:val="22"/>
              </w:rPr>
              <w:t>s konstrukcijos ir techninės būklės reikalavimus (žr. 201 kodą).</w:t>
            </w:r>
          </w:p>
          <w:p w14:paraId="370B3781" w14:textId="77777777" w:rsidR="0053476F" w:rsidRDefault="0053476F">
            <w:pPr>
              <w:ind w:firstLine="200"/>
              <w:rPr>
                <w:sz w:val="22"/>
              </w:rPr>
            </w:pPr>
          </w:p>
          <w:p w14:paraId="370B3782" w14:textId="77777777" w:rsidR="0053476F" w:rsidRDefault="0059507F">
            <w:pPr>
              <w:ind w:firstLine="200"/>
              <w:rPr>
                <w:sz w:val="22"/>
              </w:rPr>
            </w:pPr>
            <w:r>
              <w:rPr>
                <w:sz w:val="22"/>
              </w:rPr>
              <w:t>Kontrolė atliekama apžiūrint ir tikrinant.</w:t>
            </w:r>
          </w:p>
          <w:p w14:paraId="370B3783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89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85" w14:textId="77777777" w:rsidR="0053476F" w:rsidRDefault="005950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Techninės būklės vertinimo kriterijai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86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NT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87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DT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788" w14:textId="77777777" w:rsidR="0053476F" w:rsidRDefault="0059507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DE</w:t>
            </w:r>
          </w:p>
        </w:tc>
      </w:tr>
      <w:tr w:rsidR="0053476F" w14:paraId="370B378E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8A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netaisyklingas veikimas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8B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8C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8D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93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8F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 xml:space="preserve">nešviečia vienas iš dviejų žibintų M1 ir N1 klasių transporto </w:t>
            </w:r>
            <w:r>
              <w:rPr>
                <w:sz w:val="22"/>
              </w:rPr>
              <w:t>priemonėse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0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1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2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98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4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nešviečia visi žibintai M1, N1 klasės transporto priemonėse arba bent vienas žibintas kitų klasių transporto priemonėse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5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6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7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9D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9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netinkamas įrengtų žibintų skaičius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A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B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C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A2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E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>netinkama skleidžiamos šviesos spalva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9F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0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1" w14:textId="77777777" w:rsidR="0053476F" w:rsidRDefault="0053476F">
            <w:pPr>
              <w:rPr>
                <w:sz w:val="22"/>
              </w:rPr>
            </w:pPr>
          </w:p>
        </w:tc>
      </w:tr>
      <w:tr w:rsidR="0053476F" w14:paraId="370B37A7" w14:textId="77777777">
        <w:trPr>
          <w:cantSplit/>
          <w:trHeight w:val="22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3" w14:textId="77777777" w:rsidR="0053476F" w:rsidRDefault="0059507F">
            <w:pPr>
              <w:rPr>
                <w:sz w:val="22"/>
              </w:rPr>
            </w:pPr>
            <w:r>
              <w:rPr>
                <w:sz w:val="22"/>
              </w:rPr>
              <w:t xml:space="preserve">netinkamai įrengti papildomi </w:t>
            </w:r>
            <w:r>
              <w:rPr>
                <w:sz w:val="22"/>
              </w:rPr>
              <w:t>žibintai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4" w14:textId="77777777" w:rsidR="0053476F" w:rsidRDefault="0053476F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5" w14:textId="77777777" w:rsidR="0053476F" w:rsidRDefault="005950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7A6" w14:textId="6CFA7FDA" w:rsidR="0053476F" w:rsidRDefault="0053476F">
            <w:pPr>
              <w:rPr>
                <w:sz w:val="22"/>
              </w:rPr>
            </w:pPr>
          </w:p>
        </w:tc>
      </w:tr>
    </w:tbl>
    <w:p w14:paraId="59E50D0E" w14:textId="77777777" w:rsidR="0059507F" w:rsidRDefault="0059507F"/>
    <w:p w14:paraId="12EF8741" w14:textId="286FEE71" w:rsidR="0053476F" w:rsidRDefault="0059507F" w:rsidP="0059507F">
      <w:pPr>
        <w:ind w:right="140"/>
        <w:jc w:val="right"/>
      </w:pPr>
      <w:r>
        <w:t>“</w:t>
      </w:r>
      <w:r>
        <w:t>.</w:t>
      </w:r>
    </w:p>
    <w:p w14:paraId="3E1506AC" w14:textId="75CA4DDE" w:rsidR="0053476F" w:rsidRDefault="0053476F">
      <w:pPr>
        <w:jc w:val="right"/>
      </w:pPr>
    </w:p>
    <w:p w14:paraId="79459970" w14:textId="77777777" w:rsidR="0053476F" w:rsidRDefault="0053476F">
      <w:pPr>
        <w:jc w:val="right"/>
      </w:pPr>
    </w:p>
    <w:p w14:paraId="370B37A9" w14:textId="77777777" w:rsidR="0053476F" w:rsidRDefault="0053476F">
      <w:pPr>
        <w:tabs>
          <w:tab w:val="right" w:pos="9071"/>
        </w:tabs>
        <w:jc w:val="both"/>
      </w:pPr>
    </w:p>
    <w:p w14:paraId="370B37AC" w14:textId="0CB507CF" w:rsidR="0053476F" w:rsidRDefault="0059507F" w:rsidP="0059507F">
      <w:pPr>
        <w:tabs>
          <w:tab w:val="right" w:pos="9071"/>
        </w:tabs>
        <w:jc w:val="both"/>
      </w:pPr>
      <w:r>
        <w:t>INSPEKCIJOS VIRŠININKAS</w:t>
      </w:r>
      <w:r>
        <w:tab/>
        <w:t>VIDMANTAS ŽUKAUSKAS</w:t>
      </w:r>
    </w:p>
    <w:bookmarkStart w:id="0" w:name="_GoBack" w:displacedByCustomXml="next"/>
    <w:bookmarkEnd w:id="0" w:displacedByCustomXml="next"/>
    <w:sectPr w:rsidR="005347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CA"/>
    <w:rsid w:val="001A4ECA"/>
    <w:rsid w:val="0053476F"/>
    <w:rsid w:val="005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B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50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5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1A131C78E16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77E0A63A536"/>
  <Relationship Id="rId9" Type="http://schemas.openxmlformats.org/officeDocument/2006/relationships/hyperlink" TargetMode="External" Target="https://www.e-tar.lt/portal/lt/legalAct/TAR.AA5934B42E7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2B"/>
    <w:rsid w:val="004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72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72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3903</Words>
  <Characters>2226</Characters>
  <Application>Microsoft Office Word</Application>
  <DocSecurity>0</DocSecurity>
  <Lines>18</Lines>
  <Paragraphs>12</Paragraphs>
  <ScaleCrop>false</ScaleCrop>
  <Company>Teisines informacijos centras</Company>
  <LinksUpToDate>false</LinksUpToDate>
  <CharactersWithSpaces>6117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2016-10-05T10:53:00Z</dcterms:created>
  <dc:creator>Sandra</dc:creator>
  <lastModifiedBy>TAMALIŪNIENĖ Vilija</lastModifiedBy>
  <dcterms:modified xsi:type="dcterms:W3CDTF">2016-10-05T10:55:00Z</dcterms:modified>
  <revision>3</revision>
  <dc:title>VALSTYBINĖS KELIŲ TRANSPORTO INSPEKCIJOS</dc:title>
</coreProperties>
</file>