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820A" w14:textId="77777777" w:rsidR="00E92D11" w:rsidRDefault="00956F99">
      <w:pPr>
        <w:jc w:val="center"/>
        <w:rPr>
          <w:b/>
          <w:color w:val="000000"/>
        </w:rPr>
      </w:pPr>
      <w:r>
        <w:rPr>
          <w:b/>
          <w:color w:val="000000"/>
          <w:lang w:eastAsia="lt-LT"/>
        </w:rPr>
        <w:pict w14:anchorId="26D5823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F904F4">
        <w:rPr>
          <w:b/>
          <w:color w:val="000000"/>
        </w:rPr>
        <w:t>LIETUVOS RESPUBLIKOS APLINKOS MINISTRAS</w:t>
      </w:r>
    </w:p>
    <w:p w14:paraId="26D5820B" w14:textId="77777777" w:rsidR="00E92D11" w:rsidRDefault="00E92D11">
      <w:pPr>
        <w:jc w:val="center"/>
        <w:rPr>
          <w:color w:val="000000"/>
        </w:rPr>
      </w:pPr>
    </w:p>
    <w:p w14:paraId="26D5820C" w14:textId="77777777" w:rsidR="00E92D11" w:rsidRDefault="00F904F4">
      <w:pPr>
        <w:jc w:val="center"/>
        <w:rPr>
          <w:b/>
          <w:color w:val="000000"/>
        </w:rPr>
      </w:pPr>
      <w:r>
        <w:rPr>
          <w:b/>
          <w:color w:val="000000"/>
        </w:rPr>
        <w:t>Į S A K Y M A S</w:t>
      </w:r>
    </w:p>
    <w:p w14:paraId="26D5820D" w14:textId="77777777" w:rsidR="00E92D11" w:rsidRDefault="00F904F4">
      <w:pPr>
        <w:jc w:val="center"/>
        <w:rPr>
          <w:b/>
          <w:color w:val="000000"/>
        </w:rPr>
      </w:pPr>
      <w:r>
        <w:rPr>
          <w:b/>
          <w:color w:val="000000"/>
        </w:rPr>
        <w:t>DĖL MEDŽIOKLĖS LIETUVOS RESPUBLIKOS TERITORIJOJE TAISYKLIŲ DALINIO PAKEITIMO</w:t>
      </w:r>
    </w:p>
    <w:p w14:paraId="26D5820E" w14:textId="77777777" w:rsidR="00E92D11" w:rsidRDefault="00E92D11">
      <w:pPr>
        <w:jc w:val="center"/>
        <w:rPr>
          <w:color w:val="000000"/>
        </w:rPr>
      </w:pPr>
    </w:p>
    <w:p w14:paraId="26D5820F" w14:textId="77777777" w:rsidR="00E92D11" w:rsidRDefault="00F904F4">
      <w:pPr>
        <w:jc w:val="center"/>
        <w:rPr>
          <w:color w:val="000000"/>
        </w:rPr>
      </w:pPr>
      <w:r>
        <w:rPr>
          <w:color w:val="000000"/>
        </w:rPr>
        <w:t>2000 m. spalio 26 d. Nr. 466</w:t>
      </w:r>
    </w:p>
    <w:p w14:paraId="26D58210" w14:textId="77777777" w:rsidR="00E92D11" w:rsidRDefault="00F904F4">
      <w:pPr>
        <w:jc w:val="center"/>
        <w:rPr>
          <w:color w:val="000000"/>
        </w:rPr>
      </w:pPr>
      <w:r>
        <w:rPr>
          <w:color w:val="000000"/>
        </w:rPr>
        <w:t>Vilnius</w:t>
      </w:r>
    </w:p>
    <w:p w14:paraId="1F0D37D4" w14:textId="77777777" w:rsidR="00F904F4" w:rsidRDefault="00F904F4">
      <w:pPr>
        <w:ind w:firstLine="709"/>
        <w:jc w:val="both"/>
        <w:rPr>
          <w:color w:val="000000"/>
        </w:rPr>
      </w:pPr>
    </w:p>
    <w:p w14:paraId="59237690" w14:textId="77777777" w:rsidR="00F904F4" w:rsidRDefault="00F904F4">
      <w:pPr>
        <w:ind w:firstLine="709"/>
        <w:jc w:val="both"/>
        <w:rPr>
          <w:color w:val="000000"/>
        </w:rPr>
      </w:pPr>
    </w:p>
    <w:p w14:paraId="26D58212" w14:textId="77777777" w:rsidR="00E92D11" w:rsidRDefault="00F904F4">
      <w:pPr>
        <w:ind w:firstLine="709"/>
        <w:jc w:val="both"/>
        <w:rPr>
          <w:color w:val="000000"/>
        </w:rPr>
      </w:pPr>
      <w:r>
        <w:rPr>
          <w:color w:val="000000"/>
        </w:rPr>
        <w:t xml:space="preserve">Vadovaudamasis Medžioklės Lietuvos Respublikoje nuostatų (Žin., 2000, Nr. </w:t>
      </w:r>
      <w:hyperlink r:id="rId10" w:tgtFrame="_blank" w:history="1">
        <w:r>
          <w:rPr>
            <w:color w:val="0000FF" w:themeColor="hyperlink"/>
            <w:u w:val="single"/>
          </w:rPr>
          <w:t>32-905</w:t>
        </w:r>
      </w:hyperlink>
      <w:r>
        <w:rPr>
          <w:color w:val="000000"/>
        </w:rPr>
        <w:t xml:space="preserve">) 2 punktu ir Aplinkos ministerijos nuostatų (Žin., 1998, Nr. </w:t>
      </w:r>
      <w:hyperlink r:id="rId11" w:tgtFrame="_blank" w:history="1">
        <w:r>
          <w:rPr>
            <w:color w:val="0000FF" w:themeColor="hyperlink"/>
            <w:u w:val="single"/>
          </w:rPr>
          <w:t>84-2353</w:t>
        </w:r>
      </w:hyperlink>
      <w:r>
        <w:rPr>
          <w:color w:val="000000"/>
        </w:rPr>
        <w:t>) 11.5 punktu:</w:t>
      </w:r>
    </w:p>
    <w:p w14:paraId="26D58213" w14:textId="77777777" w:rsidR="00E92D11" w:rsidRDefault="00956F99">
      <w:pPr>
        <w:ind w:firstLine="709"/>
        <w:jc w:val="both"/>
        <w:rPr>
          <w:color w:val="000000"/>
        </w:rPr>
      </w:pPr>
      <w:r w:rsidR="00F904F4">
        <w:rPr>
          <w:color w:val="000000"/>
        </w:rPr>
        <w:t>1</w:t>
      </w:r>
      <w:r w:rsidR="00F904F4">
        <w:rPr>
          <w:color w:val="000000"/>
        </w:rPr>
        <w:t xml:space="preserve">. Iš dalies </w:t>
      </w:r>
      <w:r w:rsidR="00F904F4">
        <w:rPr>
          <w:color w:val="000000"/>
          <w:spacing w:val="60"/>
        </w:rPr>
        <w:t>keičiu</w:t>
      </w:r>
      <w:r w:rsidR="00F904F4">
        <w:rPr>
          <w:color w:val="000000"/>
        </w:rPr>
        <w:t xml:space="preserve"> Medžioklės Lietuvos Respublikos teritorijoje taisykles, patvirtintas aplinkos ministro </w:t>
      </w:r>
      <w:smartTag w:uri="urn:schemas-microsoft-com:office:smarttags" w:element="metricconverter">
        <w:smartTagPr>
          <w:attr w:name="ProductID" w:val="2000 m"/>
        </w:smartTagPr>
        <w:r w:rsidR="00F904F4">
          <w:rPr>
            <w:color w:val="000000"/>
          </w:rPr>
          <w:t>2000 m</w:t>
        </w:r>
      </w:smartTag>
      <w:r w:rsidR="00F904F4">
        <w:rPr>
          <w:color w:val="000000"/>
        </w:rPr>
        <w:t xml:space="preserve">. birželio 27 d. įsakymu Nr. 258 „Dėl Medžioklės Lietuvos Respublikos teritorijoje taisyklių patvirtinimo“ (Žin., 2000, Nr. </w:t>
      </w:r>
      <w:hyperlink r:id="rId12" w:tgtFrame="_blank" w:history="1">
        <w:r w:rsidR="00F904F4">
          <w:rPr>
            <w:color w:val="0000FF" w:themeColor="hyperlink"/>
            <w:u w:val="single"/>
          </w:rPr>
          <w:t>53-1540</w:t>
        </w:r>
      </w:hyperlink>
      <w:r w:rsidR="00F904F4">
        <w:rPr>
          <w:color w:val="000000"/>
        </w:rPr>
        <w:t>):</w:t>
      </w:r>
    </w:p>
    <w:p w14:paraId="26D58214" w14:textId="77777777" w:rsidR="00E92D11" w:rsidRDefault="00956F99">
      <w:pPr>
        <w:ind w:firstLine="709"/>
        <w:jc w:val="both"/>
        <w:rPr>
          <w:color w:val="000000"/>
        </w:rPr>
      </w:pPr>
      <w:r w:rsidR="00F904F4">
        <w:rPr>
          <w:color w:val="000000"/>
        </w:rPr>
        <w:t>1.1</w:t>
      </w:r>
      <w:r w:rsidR="00F904F4">
        <w:rPr>
          <w:color w:val="000000"/>
        </w:rPr>
        <w:t>. pakeisti 13 punktą ir išdėstyti jį taip:</w:t>
      </w:r>
    </w:p>
    <w:p w14:paraId="26D58215" w14:textId="77777777" w:rsidR="00E92D11" w:rsidRDefault="00F904F4">
      <w:pPr>
        <w:ind w:firstLine="709"/>
        <w:jc w:val="both"/>
        <w:rPr>
          <w:color w:val="000000"/>
        </w:rPr>
      </w:pPr>
      <w:r>
        <w:rPr>
          <w:color w:val="000000"/>
        </w:rPr>
        <w:t>„</w:t>
      </w:r>
      <w:r>
        <w:rPr>
          <w:color w:val="000000"/>
        </w:rPr>
        <w:t>13</w:t>
      </w:r>
      <w:r>
        <w:rPr>
          <w:color w:val="000000"/>
        </w:rPr>
        <w:t>. Medžioklėje su plėšriaisiais paukščiais leidžiama naudoti tik legaliai įsigytus arba nelaisvėje išaugintus plėšriuosius paukščius. Leidimus nelaisvėje veisiamų ar legaliai iš užsienio šalių įvežtų plėšriųjų paukščių laikymui išduoda Aplinkos ministerija. Plėšriuosius paukščius paimti iš laisvės medžioklės tikslams draudžiama.“;</w:t>
      </w:r>
    </w:p>
    <w:p w14:paraId="26D58216" w14:textId="77777777" w:rsidR="00E92D11" w:rsidRDefault="00956F99">
      <w:pPr>
        <w:ind w:firstLine="709"/>
        <w:jc w:val="both"/>
        <w:rPr>
          <w:color w:val="000000"/>
        </w:rPr>
      </w:pPr>
      <w:r w:rsidR="00F904F4">
        <w:rPr>
          <w:color w:val="000000"/>
        </w:rPr>
        <w:t>1.2</w:t>
      </w:r>
      <w:r w:rsidR="00F904F4">
        <w:rPr>
          <w:color w:val="000000"/>
        </w:rPr>
        <w:t>. pakeisti 15.2 punkte nustatytus briedžių ir bebrų medžioklės terminus ir šias pastraipas išdėstyti taip:</w:t>
      </w:r>
    </w:p>
    <w:bookmarkStart w:id="0" w:name="_GoBack" w:displacedByCustomXml="prev"/>
    <w:p w14:paraId="26D58217" w14:textId="62CF36A0" w:rsidR="00E92D11" w:rsidRDefault="00F904F4">
      <w:pPr>
        <w:ind w:firstLine="709"/>
        <w:jc w:val="both"/>
        <w:rPr>
          <w:color w:val="000000"/>
        </w:rPr>
      </w:pPr>
      <w:r>
        <w:rPr>
          <w:color w:val="000000"/>
        </w:rPr>
        <w:t>„briedžius:</w:t>
      </w:r>
    </w:p>
    <w:p w14:paraId="26D58218" w14:textId="42FAAB39" w:rsidR="00E92D11" w:rsidRDefault="00F904F4">
      <w:pPr>
        <w:ind w:firstLine="709"/>
        <w:jc w:val="both"/>
        <w:rPr>
          <w:color w:val="000000"/>
        </w:rPr>
      </w:pPr>
      <w:r>
        <w:rPr>
          <w:color w:val="000000"/>
        </w:rPr>
        <w:t>patinus – nuo rugsėjo 1 d. iki lapkričio 15 d. (tik medžiotojams selekcininkams);</w:t>
      </w:r>
    </w:p>
    <w:p w14:paraId="26D58219" w14:textId="6306A241" w:rsidR="00E92D11" w:rsidRDefault="00F904F4">
      <w:pPr>
        <w:ind w:firstLine="709"/>
        <w:jc w:val="both"/>
        <w:rPr>
          <w:color w:val="000000"/>
        </w:rPr>
      </w:pPr>
      <w:r>
        <w:rPr>
          <w:color w:val="000000"/>
        </w:rPr>
        <w:t>antramečius patinus – nuo rugsėjo 1 d. iki sausio 1 d. (tik medžiotojams selekcininkams, nuo lapkričio 15 d. iki sausio 1 d. tik tykojant ir sėlinant);</w:t>
      </w:r>
    </w:p>
    <w:p w14:paraId="26D5821A" w14:textId="67431914" w:rsidR="00E92D11" w:rsidRDefault="00F904F4">
      <w:pPr>
        <w:ind w:firstLine="709"/>
        <w:jc w:val="both"/>
        <w:rPr>
          <w:color w:val="000000"/>
        </w:rPr>
      </w:pPr>
      <w:r>
        <w:rPr>
          <w:color w:val="000000"/>
        </w:rPr>
        <w:t>pateles – nuo spalio 1 d. iki lapkričio 15 d.;</w:t>
      </w:r>
    </w:p>
    <w:p w14:paraId="26D5821B" w14:textId="723FF737" w:rsidR="00E92D11" w:rsidRDefault="00F904F4">
      <w:pPr>
        <w:ind w:firstLine="709"/>
        <w:jc w:val="both"/>
        <w:rPr>
          <w:color w:val="000000"/>
        </w:rPr>
      </w:pPr>
      <w:r>
        <w:rPr>
          <w:color w:val="000000"/>
        </w:rPr>
        <w:t>jauniklius – nuo spalio 1 d. iki vasario 15 d. (nuo lapkričio 15 d. iki vasario 15 d. tik tykojant ir sėlinant);“;</w:t>
      </w:r>
    </w:p>
    <w:p w14:paraId="26D5821C" w14:textId="4D54A2E9" w:rsidR="00E92D11" w:rsidRDefault="00F904F4">
      <w:pPr>
        <w:ind w:firstLine="709"/>
        <w:jc w:val="both"/>
        <w:rPr>
          <w:color w:val="000000"/>
        </w:rPr>
      </w:pPr>
      <w:r>
        <w:rPr>
          <w:color w:val="000000"/>
        </w:rPr>
        <w:t>„</w:t>
      </w:r>
      <w:r>
        <w:rPr>
          <w:i/>
          <w:color w:val="000000"/>
        </w:rPr>
        <w:t>bebrus</w:t>
      </w:r>
      <w:r>
        <w:rPr>
          <w:color w:val="000000"/>
        </w:rPr>
        <w:t xml:space="preserve"> – nuo rugpjūčio 1 d. iki balandžio 1 d.“;</w:t>
      </w:r>
    </w:p>
    <w:bookmarkEnd w:id="0" w:displacedByCustomXml="next"/>
    <w:p w14:paraId="26D5821D" w14:textId="77777777" w:rsidR="00E92D11" w:rsidRDefault="00956F99">
      <w:pPr>
        <w:ind w:firstLine="709"/>
        <w:jc w:val="both"/>
        <w:rPr>
          <w:color w:val="000000"/>
        </w:rPr>
      </w:pPr>
      <w:r w:rsidR="00F904F4">
        <w:rPr>
          <w:color w:val="000000"/>
        </w:rPr>
        <w:t>1.3</w:t>
      </w:r>
      <w:r w:rsidR="00F904F4">
        <w:rPr>
          <w:color w:val="000000"/>
        </w:rPr>
        <w:t>. pakeisti 44.3 punktą ir išdėstyti jį taip:</w:t>
      </w:r>
    </w:p>
    <w:p w14:paraId="26D5821E" w14:textId="77777777" w:rsidR="00E92D11" w:rsidRDefault="00F904F4">
      <w:pPr>
        <w:ind w:firstLine="709"/>
        <w:jc w:val="both"/>
        <w:rPr>
          <w:color w:val="000000"/>
        </w:rPr>
      </w:pPr>
      <w:r>
        <w:rPr>
          <w:color w:val="000000"/>
        </w:rPr>
        <w:t>„</w:t>
      </w:r>
      <w:r>
        <w:rPr>
          <w:color w:val="000000"/>
        </w:rPr>
        <w:t>44.3</w:t>
      </w:r>
      <w:r>
        <w:rPr>
          <w:color w:val="000000"/>
        </w:rPr>
        <w:t>. medžioti svetimuose medžioklės plotuose, išskyrus atvejį, kai sužeistas gyvūnas persekiojamas 22.16 punkte nustatyta tvarka;“;</w:t>
      </w:r>
    </w:p>
    <w:p w14:paraId="26D5821F" w14:textId="77777777" w:rsidR="00E92D11" w:rsidRDefault="00956F99">
      <w:pPr>
        <w:ind w:firstLine="709"/>
        <w:jc w:val="both"/>
        <w:rPr>
          <w:color w:val="000000"/>
        </w:rPr>
      </w:pPr>
      <w:r w:rsidR="00F904F4">
        <w:rPr>
          <w:color w:val="000000"/>
        </w:rPr>
        <w:t>1.4</w:t>
      </w:r>
      <w:r w:rsidR="00F904F4">
        <w:rPr>
          <w:color w:val="000000"/>
        </w:rPr>
        <w:t>. pakeisti 44.5 punktą ir išdėstyti jį taip:</w:t>
      </w:r>
    </w:p>
    <w:p w14:paraId="26D58220" w14:textId="77777777" w:rsidR="00E92D11" w:rsidRDefault="00F904F4">
      <w:pPr>
        <w:ind w:firstLine="709"/>
        <w:jc w:val="both"/>
        <w:rPr>
          <w:color w:val="000000"/>
        </w:rPr>
      </w:pPr>
      <w:r>
        <w:rPr>
          <w:color w:val="000000"/>
        </w:rPr>
        <w:t>„</w:t>
      </w:r>
      <w:r>
        <w:rPr>
          <w:color w:val="000000"/>
        </w:rPr>
        <w:t>44.5</w:t>
      </w:r>
      <w:r>
        <w:rPr>
          <w:color w:val="000000"/>
        </w:rPr>
        <w:t>. perduoti fiziniam asmeniui priklausantį šaunamąjį ginklą, arbaletą, lanką ar šaudmenis kitam asmeniui arba perduoti medžioklės plotuose medžioklės įrankius asmeniui, neturinčiam teisės medžioti;“;</w:t>
      </w:r>
    </w:p>
    <w:p w14:paraId="26D58221" w14:textId="77777777" w:rsidR="00E92D11" w:rsidRDefault="00956F99">
      <w:pPr>
        <w:ind w:firstLine="709"/>
        <w:jc w:val="both"/>
        <w:rPr>
          <w:color w:val="000000"/>
        </w:rPr>
      </w:pPr>
      <w:r w:rsidR="00F904F4">
        <w:rPr>
          <w:color w:val="000000"/>
        </w:rPr>
        <w:t>1.5</w:t>
      </w:r>
      <w:r w:rsidR="00F904F4">
        <w:rPr>
          <w:color w:val="000000"/>
        </w:rPr>
        <w:t>. pakeisti 44.10 punktą ir išdėstyti jį taip:</w:t>
      </w:r>
    </w:p>
    <w:p w14:paraId="26D58222" w14:textId="77777777" w:rsidR="00E92D11" w:rsidRDefault="00F904F4">
      <w:pPr>
        <w:ind w:firstLine="709"/>
        <w:jc w:val="both"/>
        <w:rPr>
          <w:color w:val="000000"/>
        </w:rPr>
      </w:pPr>
      <w:r>
        <w:rPr>
          <w:color w:val="000000"/>
        </w:rPr>
        <w:t>„</w:t>
      </w:r>
      <w:r>
        <w:rPr>
          <w:color w:val="000000"/>
        </w:rPr>
        <w:t>44.10</w:t>
      </w:r>
      <w:r>
        <w:rPr>
          <w:color w:val="000000"/>
        </w:rPr>
        <w:t>. šaudyti kanopinius žvėris šoviniais, neturinčiais būtinos šaudmens energijos:</w:t>
      </w:r>
    </w:p>
    <w:p w14:paraId="26D58223" w14:textId="77777777" w:rsidR="00E92D11" w:rsidRDefault="00956F99">
      <w:pPr>
        <w:ind w:firstLine="709"/>
        <w:jc w:val="both"/>
        <w:rPr>
          <w:color w:val="000000"/>
        </w:rPr>
      </w:pPr>
      <w:r w:rsidR="00F904F4">
        <w:rPr>
          <w:color w:val="000000"/>
        </w:rPr>
        <w:t>44.10.1</w:t>
      </w:r>
      <w:r w:rsidR="00F904F4">
        <w:rPr>
          <w:color w:val="000000"/>
        </w:rPr>
        <w:t xml:space="preserve">. stirnas – graižtvinių šautuvų šoviniais, kurių kulkos energija </w:t>
      </w:r>
      <w:smartTag w:uri="urn:schemas-microsoft-com:office:smarttags" w:element="metricconverter">
        <w:smartTagPr>
          <w:attr w:name="ProductID" w:val="100 metrų"/>
        </w:smartTagPr>
        <w:r w:rsidR="00F904F4">
          <w:rPr>
            <w:color w:val="000000"/>
          </w:rPr>
          <w:t>100 metrų</w:t>
        </w:r>
      </w:smartTag>
      <w:r w:rsidR="00F904F4">
        <w:rPr>
          <w:color w:val="000000"/>
        </w:rPr>
        <w:t xml:space="preserve"> atstumu yra mažesnė kaip 1 000 džaulių;</w:t>
      </w:r>
    </w:p>
    <w:p w14:paraId="26D58224" w14:textId="77777777" w:rsidR="00E92D11" w:rsidRDefault="00956F99">
      <w:pPr>
        <w:ind w:firstLine="709"/>
        <w:jc w:val="both"/>
        <w:rPr>
          <w:color w:val="000000"/>
        </w:rPr>
      </w:pPr>
      <w:r w:rsidR="00F904F4">
        <w:rPr>
          <w:color w:val="000000"/>
        </w:rPr>
        <w:t>44.10.2</w:t>
      </w:r>
      <w:r w:rsidR="00F904F4">
        <w:rPr>
          <w:color w:val="000000"/>
        </w:rPr>
        <w:t xml:space="preserve">. danielius, antramečius šernus ir jauniklius – graižtvinių šautuvų šoviniais, kurių kalibras mažesnis kaip </w:t>
      </w:r>
      <w:smartTag w:uri="urn:schemas-microsoft-com:office:smarttags" w:element="metricconverter">
        <w:smartTagPr>
          <w:attr w:name="ProductID" w:val="6,5 mm"/>
        </w:smartTagPr>
        <w:r w:rsidR="00F904F4">
          <w:rPr>
            <w:color w:val="000000"/>
          </w:rPr>
          <w:t>6,5 mm</w:t>
        </w:r>
      </w:smartTag>
      <w:r w:rsidR="00F904F4">
        <w:rPr>
          <w:color w:val="000000"/>
        </w:rPr>
        <w:t xml:space="preserve">, o kulkos energija </w:t>
      </w:r>
      <w:smartTag w:uri="urn:schemas-microsoft-com:office:smarttags" w:element="metricconverter">
        <w:smartTagPr>
          <w:attr w:name="ProductID" w:val="100 metrų"/>
        </w:smartTagPr>
        <w:r w:rsidR="00F904F4">
          <w:rPr>
            <w:color w:val="000000"/>
          </w:rPr>
          <w:t>100 metrų</w:t>
        </w:r>
      </w:smartTag>
      <w:r w:rsidR="00F904F4">
        <w:rPr>
          <w:color w:val="000000"/>
        </w:rPr>
        <w:t xml:space="preserve"> atstumu yra mažesnė kaip 2 000 džaulių;</w:t>
      </w:r>
    </w:p>
    <w:p w14:paraId="26D58225" w14:textId="77777777" w:rsidR="00E92D11" w:rsidRDefault="00956F99">
      <w:pPr>
        <w:ind w:firstLine="709"/>
        <w:jc w:val="both"/>
        <w:rPr>
          <w:color w:val="000000"/>
        </w:rPr>
      </w:pPr>
      <w:r w:rsidR="00F904F4">
        <w:rPr>
          <w:color w:val="000000"/>
        </w:rPr>
        <w:t>44.10.3</w:t>
      </w:r>
      <w:r w:rsidR="00F904F4">
        <w:rPr>
          <w:color w:val="000000"/>
        </w:rPr>
        <w:t xml:space="preserve">. briedžius, elnius ir suaugusius šernus – graižtvinių šautuvų šoviniais, kurių kulkos energija </w:t>
      </w:r>
      <w:smartTag w:uri="urn:schemas-microsoft-com:office:smarttags" w:element="metricconverter">
        <w:smartTagPr>
          <w:attr w:name="ProductID" w:val="100 metrų"/>
        </w:smartTagPr>
        <w:r w:rsidR="00F904F4">
          <w:rPr>
            <w:color w:val="000000"/>
          </w:rPr>
          <w:t>100 metrų</w:t>
        </w:r>
      </w:smartTag>
      <w:r w:rsidR="00F904F4">
        <w:rPr>
          <w:color w:val="000000"/>
        </w:rPr>
        <w:t xml:space="preserve"> atstumu yra mažesnė kaip 2 500 džaulių;</w:t>
      </w:r>
    </w:p>
    <w:p w14:paraId="26D58226" w14:textId="77777777" w:rsidR="00E92D11" w:rsidRDefault="00956F99">
      <w:pPr>
        <w:ind w:firstLine="709"/>
        <w:jc w:val="both"/>
        <w:rPr>
          <w:color w:val="000000"/>
        </w:rPr>
      </w:pPr>
      <w:r w:rsidR="00F904F4">
        <w:rPr>
          <w:color w:val="000000"/>
        </w:rPr>
        <w:t>44.10.4</w:t>
      </w:r>
      <w:r w:rsidR="00F904F4">
        <w:rPr>
          <w:color w:val="000000"/>
        </w:rPr>
        <w:t xml:space="preserve">. visus kanopinius žvėris – lygiavamzdžių šautuvų šoviniais, esant didesniam kaip </w:t>
      </w:r>
      <w:smartTag w:uri="urn:schemas-microsoft-com:office:smarttags" w:element="metricconverter">
        <w:smartTagPr>
          <w:attr w:name="ProductID" w:val="45 metrai"/>
        </w:smartTagPr>
        <w:r w:rsidR="00F904F4">
          <w:rPr>
            <w:color w:val="000000"/>
          </w:rPr>
          <w:t>45 metrai</w:t>
        </w:r>
      </w:smartTag>
      <w:r w:rsidR="00F904F4">
        <w:rPr>
          <w:color w:val="000000"/>
        </w:rPr>
        <w:t xml:space="preserve"> atstumui;“;</w:t>
      </w:r>
    </w:p>
    <w:p w14:paraId="26D58227" w14:textId="77777777" w:rsidR="00E92D11" w:rsidRDefault="00956F99">
      <w:pPr>
        <w:ind w:firstLine="709"/>
        <w:jc w:val="both"/>
        <w:rPr>
          <w:color w:val="000000"/>
        </w:rPr>
      </w:pPr>
      <w:r w:rsidR="00F904F4">
        <w:rPr>
          <w:color w:val="000000"/>
        </w:rPr>
        <w:t>1.6</w:t>
      </w:r>
      <w:r w:rsidR="00F904F4">
        <w:rPr>
          <w:color w:val="000000"/>
        </w:rPr>
        <w:t>. pakeisti 44.16 punktą ir išdėstyti jį taip:</w:t>
      </w:r>
    </w:p>
    <w:p w14:paraId="26D58228" w14:textId="77777777" w:rsidR="00E92D11" w:rsidRDefault="00F904F4">
      <w:pPr>
        <w:ind w:firstLine="709"/>
        <w:jc w:val="both"/>
        <w:rPr>
          <w:color w:val="000000"/>
        </w:rPr>
      </w:pPr>
      <w:r>
        <w:rPr>
          <w:color w:val="000000"/>
        </w:rPr>
        <w:t>„</w:t>
      </w:r>
      <w:r>
        <w:rPr>
          <w:color w:val="000000"/>
        </w:rPr>
        <w:t>44.16</w:t>
      </w:r>
      <w:r>
        <w:rPr>
          <w:color w:val="000000"/>
        </w:rPr>
        <w:t>. medžioti paukščius be medžioklinių šunų, išskyrus atvejus, kai medžiojami varniniai paukščiai;“;</w:t>
      </w:r>
    </w:p>
    <w:p w14:paraId="26D58229" w14:textId="77777777" w:rsidR="00E92D11" w:rsidRDefault="00956F99">
      <w:pPr>
        <w:ind w:firstLine="709"/>
        <w:jc w:val="both"/>
        <w:rPr>
          <w:color w:val="000000"/>
        </w:rPr>
      </w:pPr>
      <w:r w:rsidR="00F904F4">
        <w:rPr>
          <w:color w:val="000000"/>
        </w:rPr>
        <w:t>1.7</w:t>
      </w:r>
      <w:r w:rsidR="00F904F4">
        <w:rPr>
          <w:color w:val="000000"/>
        </w:rPr>
        <w:t>. pakeisti 44.19 punktą ir išdėstyti jį taip:</w:t>
      </w:r>
    </w:p>
    <w:p w14:paraId="26D5822A" w14:textId="77777777" w:rsidR="00E92D11" w:rsidRDefault="00F904F4">
      <w:pPr>
        <w:ind w:firstLine="709"/>
        <w:jc w:val="both"/>
        <w:rPr>
          <w:color w:val="000000"/>
        </w:rPr>
      </w:pPr>
      <w:r>
        <w:rPr>
          <w:color w:val="000000"/>
        </w:rPr>
        <w:t>„</w:t>
      </w:r>
      <w:r>
        <w:rPr>
          <w:color w:val="000000"/>
        </w:rPr>
        <w:t>44.19</w:t>
      </w:r>
      <w:r>
        <w:rPr>
          <w:color w:val="000000"/>
        </w:rPr>
        <w:t>. apšviesti medžioklės plotus dirbtiniais šviesos šaltiniais (išskyrus taisyklių 11 punkte numatytą atvejį), akinti medžiojamuosius gyvūnus veidrodžiais ar kitomis priemonėmis, šviesti iš transporto priemonių bet kokiais dirbtiniais šviesos šaltiniais, nepriklausančiais transporto priemonių apšvietimo sistemai, ir turint transporto priemonėse šaunamuosius ginklus arba medžioklinius šunis, šaudant naudoti lazerinius taikiklius ir elektroninius optinius taikiklius, turinčius elektroninį vaizdo keitiklį, viliojimui naudoti elektrinius, elektroninius ar magnetinius garso atkūrimo prietaisus, naudoti medžioklėje elektrinius aparatus, skirtus gyvūnams apsvaiginti ar užmušti;“.</w:t>
      </w:r>
    </w:p>
    <w:p w14:paraId="26D5822B" w14:textId="77777777" w:rsidR="00E92D11" w:rsidRDefault="00956F99">
      <w:pPr>
        <w:ind w:firstLine="709"/>
        <w:jc w:val="both"/>
        <w:rPr>
          <w:color w:val="000000"/>
        </w:rPr>
      </w:pPr>
      <w:r w:rsidR="00F904F4">
        <w:rPr>
          <w:color w:val="000000"/>
        </w:rPr>
        <w:t>2</w:t>
      </w:r>
      <w:r w:rsidR="00F904F4">
        <w:rPr>
          <w:color w:val="000000"/>
        </w:rPr>
        <w:t>. Aplinkos ministerijos informacijos kompiuterinėje sistemoje vadovautis reikšminiais žodžiais: „gyvūnija“, „valdymo sistema“.</w:t>
      </w:r>
    </w:p>
    <w:p w14:paraId="26D5822C" w14:textId="77777777" w:rsidR="00E92D11" w:rsidRDefault="00E92D11">
      <w:pPr>
        <w:ind w:firstLine="709"/>
        <w:jc w:val="both"/>
        <w:rPr>
          <w:color w:val="000000"/>
        </w:rPr>
      </w:pPr>
    </w:p>
    <w:p w14:paraId="26D5822D" w14:textId="77777777" w:rsidR="00E92D11" w:rsidRDefault="00956F99">
      <w:pPr>
        <w:ind w:firstLine="709"/>
        <w:jc w:val="both"/>
        <w:rPr>
          <w:color w:val="000000"/>
        </w:rPr>
      </w:pPr>
    </w:p>
    <w:p w14:paraId="26D5822F" w14:textId="49373652" w:rsidR="00E92D11" w:rsidRPr="00F904F4" w:rsidRDefault="00F904F4" w:rsidP="00F904F4">
      <w:pPr>
        <w:tabs>
          <w:tab w:val="right" w:pos="9639"/>
        </w:tabs>
        <w:rPr>
          <w:caps/>
        </w:rPr>
      </w:pPr>
      <w:r>
        <w:rPr>
          <w:caps/>
        </w:rPr>
        <w:t>L. E. APLINKOS MINISTRO PAREIGAS</w:t>
      </w:r>
      <w:r>
        <w:rPr>
          <w:caps/>
        </w:rPr>
        <w:tab/>
        <w:t>DANIUS LYGIS</w:t>
      </w:r>
    </w:p>
    <w:sectPr w:rsidR="00E92D11" w:rsidRPr="00F904F4">
      <w:headerReference w:type="even"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8233" w14:textId="77777777" w:rsidR="00E92D11" w:rsidRDefault="00F904F4">
      <w:r>
        <w:separator/>
      </w:r>
    </w:p>
  </w:endnote>
  <w:endnote w:type="continuationSeparator" w:id="0">
    <w:p w14:paraId="26D58234" w14:textId="77777777" w:rsidR="00E92D11" w:rsidRDefault="00F9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8239" w14:textId="77777777" w:rsidR="00E92D11" w:rsidRDefault="00E92D1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823A" w14:textId="77777777" w:rsidR="00E92D11" w:rsidRDefault="00E92D1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823C" w14:textId="77777777" w:rsidR="00E92D11" w:rsidRDefault="00E92D1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58231" w14:textId="77777777" w:rsidR="00E92D11" w:rsidRDefault="00F904F4">
      <w:r>
        <w:separator/>
      </w:r>
    </w:p>
  </w:footnote>
  <w:footnote w:type="continuationSeparator" w:id="0">
    <w:p w14:paraId="26D58232" w14:textId="77777777" w:rsidR="00E92D11" w:rsidRDefault="00F9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8235" w14:textId="77777777" w:rsidR="00E92D11" w:rsidRDefault="00F904F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6D58236" w14:textId="77777777" w:rsidR="00E92D11" w:rsidRDefault="00E92D1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823B" w14:textId="77777777" w:rsidR="00E92D11" w:rsidRDefault="00E92D1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FB"/>
    <w:rsid w:val="00956F99"/>
    <w:rsid w:val="00E56FFB"/>
    <w:rsid w:val="00E92D11"/>
    <w:rsid w:val="00F904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6D5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904F4"/>
    <w:pPr>
      <w:tabs>
        <w:tab w:val="center" w:pos="4819"/>
        <w:tab w:val="right" w:pos="9638"/>
      </w:tabs>
    </w:pPr>
  </w:style>
  <w:style w:type="character" w:customStyle="1" w:styleId="AntratsDiagrama">
    <w:name w:val="Antraštės Diagrama"/>
    <w:basedOn w:val="Numatytasispastraiposriftas"/>
    <w:link w:val="Antrats"/>
    <w:rsid w:val="00F904F4"/>
  </w:style>
  <w:style w:type="character" w:styleId="Vietosrezervavimoenklotekstas">
    <w:name w:val="Placeholder Text"/>
    <w:basedOn w:val="Numatytasispastraiposriftas"/>
    <w:rsid w:val="00956F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904F4"/>
    <w:pPr>
      <w:tabs>
        <w:tab w:val="center" w:pos="4819"/>
        <w:tab w:val="right" w:pos="9638"/>
      </w:tabs>
    </w:pPr>
  </w:style>
  <w:style w:type="character" w:customStyle="1" w:styleId="AntratsDiagrama">
    <w:name w:val="Antraštės Diagrama"/>
    <w:basedOn w:val="Numatytasispastraiposriftas"/>
    <w:link w:val="Antrats"/>
    <w:rsid w:val="00F904F4"/>
  </w:style>
  <w:style w:type="character" w:styleId="Vietosrezervavimoenklotekstas">
    <w:name w:val="Placeholder Text"/>
    <w:basedOn w:val="Numatytasispastraiposriftas"/>
    <w:rsid w:val="00956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29DCFCEF677"/>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308F43BA7D00"/>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D3"/>
    <w:rsid w:val="003E4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40D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40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2610</Words>
  <Characters>1489</Characters>
  <Application>Microsoft Office Word</Application>
  <DocSecurity>0</DocSecurity>
  <Lines>12</Lines>
  <Paragraphs>8</Paragraphs>
  <ScaleCrop>false</ScaleCrop>
  <Company/>
  <LinksUpToDate>false</LinksUpToDate>
  <CharactersWithSpaces>4091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2015-09-20T14:02:00Z</dcterms:created>
  <dc:creator>User</dc:creator>
  <lastModifiedBy>JUOSPONIENĖ Karolina</lastModifiedBy>
  <dcterms:modified xsi:type="dcterms:W3CDTF">2015-10-15T11:34:00Z</dcterms:modified>
  <revision>4</revision>
</coreProperties>
</file>