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szCs w:val="24"/>
          <w:lang w:eastAsia="lt-LT"/>
        </w:rPr>
      </w:pPr>
      <w:r>
        <w:rPr>
          <w:b/>
          <w:bCs/>
          <w:caps/>
          <w:color w:val="000000"/>
          <w:szCs w:val="24"/>
          <w:lang w:eastAsia="lt-LT"/>
        </w:rPr>
        <w:t>LIETUVOS RESPUBLIKOS SVEIKATOS DRAUDIMO ĮSTATYMO 13</w:t>
      </w:r>
      <w:r>
        <w:rPr>
          <w:b/>
          <w:bCs/>
          <w:caps/>
          <w:color w:val="000000"/>
          <w:szCs w:val="24"/>
          <w:vertAlign w:val="superscript"/>
          <w:lang w:eastAsia="lt-LT"/>
        </w:rPr>
        <w:t>1</w:t>
      </w:r>
      <w:r>
        <w:rPr>
          <w:b/>
          <w:bCs/>
          <w:caps/>
          <w:color w:val="000000"/>
          <w:szCs w:val="24"/>
          <w:lang w:eastAsia="lt-LT"/>
        </w:rPr>
        <w:t> IR 14 STRAIPSNIŲ PAKEITIMO ĮSTATYMAS</w:t>
      </w:r>
    </w:p>
    <w:p>
      <w:pPr>
        <w:widowControl w:val="0"/>
        <w:suppressAutoHyphens/>
        <w:ind w:firstLine="567"/>
        <w:jc w:val="both"/>
        <w:rPr>
          <w:color w:val="000000"/>
          <w:szCs w:val="24"/>
          <w:lang w:eastAsia="lt-LT"/>
        </w:rPr>
      </w:pPr>
    </w:p>
    <w:p>
      <w:pPr>
        <w:keepLines/>
        <w:widowControl w:val="0"/>
        <w:suppressAutoHyphens/>
        <w:jc w:val="center"/>
        <w:rPr>
          <w:color w:val="000000"/>
          <w:szCs w:val="24"/>
          <w:lang w:eastAsia="lt-LT"/>
        </w:rPr>
      </w:pPr>
      <w:r>
        <w:rPr>
          <w:color w:val="000000"/>
          <w:szCs w:val="24"/>
          <w:lang w:eastAsia="lt-LT"/>
        </w:rPr>
        <w:t xml:space="preserve">2013 m. gruodžio 3 d. Nr. XII-640 </w:t>
      </w:r>
    </w:p>
    <w:p>
      <w:pPr>
        <w:keepLines/>
        <w:widowControl w:val="0"/>
        <w:suppressAutoHyphens/>
        <w:jc w:val="center"/>
        <w:rPr>
          <w:b/>
          <w:bCs/>
          <w:color w:val="000000"/>
          <w:szCs w:val="24"/>
          <w:lang w:eastAsia="lt-LT"/>
        </w:rPr>
      </w:pPr>
      <w:r>
        <w:rPr>
          <w:color w:val="000000"/>
          <w:szCs w:val="24"/>
          <w:lang w:eastAsia="lt-LT"/>
        </w:rPr>
        <w:t>Vilnius</w:t>
      </w:r>
    </w:p>
    <w:p>
      <w:pPr>
        <w:widowControl w:val="0"/>
        <w:suppressAutoHyphens/>
        <w:ind w:firstLine="567"/>
        <w:jc w:val="both"/>
        <w:rPr>
          <w:color w:val="000000"/>
          <w:szCs w:val="24"/>
          <w:lang w:eastAsia="lt-LT"/>
        </w:rPr>
      </w:pPr>
    </w:p>
    <w:p>
      <w:pPr>
        <w:keepLines/>
        <w:widowControl w:val="0"/>
        <w:suppressAutoHyphens/>
        <w:jc w:val="center"/>
        <w:rPr>
          <w:color w:val="000000"/>
          <w:szCs w:val="24"/>
          <w:lang w:eastAsia="lt-LT"/>
        </w:rPr>
      </w:pPr>
      <w:r>
        <w:rPr>
          <w:color w:val="000000"/>
          <w:szCs w:val="24"/>
          <w:lang w:eastAsia="lt-LT"/>
        </w:rPr>
        <w:t>(Žin., 1996, Nr. </w:t>
      </w:r>
      <w:fldSimple w:instr="HYPERLINK https://www.e-tar.lt/portal/lt/legalAct/TAR.94F6B680E8B8 \t _blank">
        <w:r>
          <w:rPr>
            <w:color w:val="0000FF" w:themeColor="hyperlink"/>
            <w:szCs w:val="24"/>
            <w:lang w:eastAsia="lt-LT"/>
            <w:u w:val="single"/>
          </w:rPr>
          <w:t>55-1287</w:t>
        </w:r>
      </w:fldSimple>
      <w:r>
        <w:rPr>
          <w:color w:val="000000"/>
          <w:szCs w:val="24"/>
          <w:lang w:eastAsia="lt-LT"/>
        </w:rPr>
        <w:t>; 2002, Nr. </w:t>
      </w:r>
      <w:fldSimple w:instr="HYPERLINK https://www.e-tar.lt/portal/lt/legalAct/TAR.8AC83320B76A \t _blank">
        <w:r>
          <w:rPr>
            <w:color w:val="0000FF" w:themeColor="hyperlink"/>
            <w:szCs w:val="24"/>
            <w:lang w:eastAsia="lt-LT"/>
            <w:u w:val="single"/>
          </w:rPr>
          <w:t>123-5512</w:t>
        </w:r>
      </w:fldSimple>
      <w:r>
        <w:rPr>
          <w:color w:val="000000"/>
          <w:szCs w:val="24"/>
          <w:lang w:eastAsia="lt-LT"/>
        </w:rPr>
        <w:t>; 2007, Nr. </w:t>
      </w:r>
      <w:fldSimple w:instr="HYPERLINK https://www.e-tar.lt/portal/lt/legalAct/TAR.4997EB612974 \t _blank">
        <w:r>
          <w:rPr>
            <w:color w:val="0000FF" w:themeColor="hyperlink"/>
            <w:szCs w:val="24"/>
            <w:lang w:eastAsia="lt-LT"/>
            <w:u w:val="single"/>
          </w:rPr>
          <w:t>77-3052</w:t>
        </w:r>
      </w:fldSimple>
      <w:r>
        <w:rPr>
          <w:color w:val="000000"/>
          <w:szCs w:val="24"/>
          <w:lang w:eastAsia="lt-LT"/>
        </w:rPr>
        <w:t>; 2008, Nr. </w:t>
      </w:r>
      <w:fldSimple w:instr="HYPERLINK https://www.e-tar.lt/portal/lt/legalAct/TAR.7AD85D49167B \t _blank">
        <w:r>
          <w:rPr>
            <w:color w:val="0000FF" w:themeColor="hyperlink"/>
            <w:szCs w:val="24"/>
            <w:lang w:eastAsia="lt-LT"/>
            <w:u w:val="single"/>
          </w:rPr>
          <w:t>137-5377</w:t>
        </w:r>
      </w:fldSimple>
      <w:r>
        <w:rPr>
          <w:color w:val="000000"/>
          <w:szCs w:val="24"/>
          <w:lang w:eastAsia="lt-LT"/>
        </w:rPr>
        <w:t>; 2011, Nr. </w:t>
      </w:r>
      <w:fldSimple w:instr="HYPERLINK https://www.e-tar.lt/portal/lt/legalAct/TAR.B24819F5A7DB \t _blank">
        <w:r>
          <w:rPr>
            <w:color w:val="0000FF" w:themeColor="hyperlink"/>
            <w:szCs w:val="24"/>
            <w:lang w:eastAsia="lt-LT"/>
            <w:u w:val="single"/>
          </w:rPr>
          <w:t>52-2521</w:t>
        </w:r>
      </w:fldSimple>
      <w:r>
        <w:rPr>
          <w:color w:val="000000"/>
          <w:szCs w:val="24"/>
          <w:lang w:eastAsia="lt-LT"/>
        </w:rPr>
        <w:t>)</w:t>
      </w:r>
    </w:p>
    <w:p>
      <w:pPr>
        <w:widowControl w:val="0"/>
        <w:suppressAutoHyphens/>
        <w:ind w:firstLine="567"/>
        <w:jc w:val="both"/>
        <w:rPr>
          <w:color w:val="000000"/>
          <w:szCs w:val="24"/>
          <w:lang w:eastAsia="lt-LT"/>
        </w:rPr>
      </w:pPr>
    </w:p>
    <w:p>
      <w:pPr>
        <w:widowControl w:val="0"/>
        <w:suppressAutoHyphens/>
        <w:ind w:firstLine="567"/>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13</w:t>
      </w:r>
      <w:r>
        <w:rPr>
          <w:b/>
          <w:bCs/>
          <w:color w:val="000000"/>
          <w:szCs w:val="24"/>
          <w:vertAlign w:val="superscript"/>
          <w:lang w:eastAsia="lt-LT"/>
        </w:rPr>
        <w:t>1</w:t>
      </w:r>
      <w:r>
        <w:rPr>
          <w:b/>
          <w:bCs/>
          <w:color w:val="000000"/>
          <w:szCs w:val="24"/>
          <w:lang w:eastAsia="lt-LT"/>
        </w:rPr>
        <w:t> straipsnio pakeitimas</w:t>
      </w:r>
    </w:p>
    <w:p>
      <w:pPr>
        <w:widowControl w:val="0"/>
        <w:suppressAutoHyphens/>
        <w:ind w:firstLine="567"/>
        <w:jc w:val="both"/>
        <w:rPr>
          <w:color w:val="000000"/>
          <w:szCs w:val="24"/>
          <w:lang w:eastAsia="lt-LT"/>
        </w:rPr>
      </w:pPr>
      <w:r>
        <w:rPr>
          <w:color w:val="000000"/>
          <w:szCs w:val="24"/>
          <w:lang w:eastAsia="lt-LT"/>
        </w:rPr>
        <w:t>Pakeisti 13</w:t>
      </w:r>
      <w:r>
        <w:rPr>
          <w:color w:val="000000"/>
          <w:szCs w:val="24"/>
          <w:vertAlign w:val="superscript"/>
          <w:lang w:eastAsia="lt-LT"/>
        </w:rPr>
        <w:t>1 </w:t>
      </w:r>
      <w:r>
        <w:rPr>
          <w:color w:val="000000"/>
          <w:szCs w:val="24"/>
          <w:lang w:eastAsia="lt-LT"/>
        </w:rPr>
        <w:t>straipsnį ir jį išdėstyti taip:</w:t>
      </w:r>
    </w:p>
    <w:p>
      <w:pPr>
        <w:widowControl w:val="0"/>
        <w:suppressAutoHyphens/>
        <w:ind w:firstLine="567"/>
        <w:jc w:val="both"/>
        <w:rPr>
          <w:color w:val="000000"/>
          <w:szCs w:val="24"/>
          <w:lang w:eastAsia="lt-LT"/>
        </w:rPr>
      </w:pPr>
    </w:p>
    <w:p>
      <w:pPr>
        <w:widowControl w:val="0"/>
        <w:suppressAutoHyphens/>
        <w:ind w:left="2160" w:hanging="1593"/>
        <w:rPr>
          <w:color w:val="000000"/>
          <w:szCs w:val="24"/>
          <w:lang w:eastAsia="lt-LT"/>
        </w:rPr>
      </w:pPr>
      <w:r>
        <w:rPr>
          <w:color w:val="000000"/>
          <w:szCs w:val="24"/>
          <w:lang w:eastAsia="lt-LT"/>
        </w:rPr>
        <w:t>„</w:t>
      </w:r>
      <w:r>
        <w:rPr>
          <w:b/>
          <w:bCs/>
          <w:color w:val="000000"/>
          <w:szCs w:val="24"/>
          <w:lang w:eastAsia="lt-LT"/>
        </w:rPr>
        <w:t>13</w:t>
      </w:r>
      <w:r>
        <w:rPr>
          <w:b/>
          <w:bCs/>
          <w:color w:val="000000"/>
          <w:szCs w:val="24"/>
          <w:vertAlign w:val="superscript"/>
          <w:lang w:eastAsia="lt-LT"/>
        </w:rPr>
        <w:t>1</w:t>
      </w:r>
      <w:r>
        <w:rPr>
          <w:b/>
          <w:bCs/>
          <w:color w:val="000000"/>
          <w:szCs w:val="24"/>
          <w:lang w:eastAsia="lt-LT"/>
        </w:rPr>
        <w:t xml:space="preserve"> straipsnis. </w:t>
      </w:r>
      <w:r>
        <w:rPr>
          <w:b/>
          <w:bCs/>
          <w:color w:val="000000"/>
          <w:szCs w:val="24"/>
          <w:lang w:eastAsia="lt-LT"/>
        </w:rPr>
        <w:t>Privalomojo sveikatos draudimo fondo finansinių ir biudžeto vykdymo ataskaitų rinkiniai</w:t>
      </w: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Privalomojo sveikatos draudimo fondo ir Privalomojo sveikatos draudimo fondo administravimo įstaigų finansinių ataskaitų rinkinių ir Privalomojo sveikatos draudimo fondo konsoliduotųjų ataskaitų rinkinio sudėtį ir šių rinkinių sudarymo reikalavimus reglamentuoja Viešojo sektoriaus atskaitomybės įstatymas. Privalomojo sveikatos draudimo fondo ir Privalomojo sveikatos draudimo fondo administravimo įstaigų biudžeto vykdymo ataskaitų rinkinių sudėtį ir šių rinkinių sudarymo reikalavimus reglamentuoja šio Įstatymo 14 straipsnio 4 dalyje nurodytos Privalomojo sveikatos draudimo fondo biudžeto sudarymo ir vykdymo taisyklės.</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Privalomojo sveikatos draudimo fondo metinių konsoliduotųjų ataskaitų rinkinį rengia Valstybinė ligonių kasa.</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Valstybinė ligonių kasa Privalomojo sveikatos draudimo fondo metinių konsoliduotųjų ataskaitų rinkinį kartu su Privalomojo sveikatos draudimo tarybos išvada teikia Sveikatos apsaugos ministerijai.</w:t>
      </w:r>
    </w:p>
    <w:p>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Privalomojo sveikatos draudimo fondo metinių konsoliduotųjų ataskaitų rinkinio teikimą už aukštesniojo lygio konsoliduotųjų ataskaitų rinkinio parengimą atsakingam viešojo sektoriaus subjektui ir Vyriausybei, šio rinkinio tvirtinimą, skelbimą ir auditą reglamentuoja Viešojo sektoriaus atskaitomybės įstatymas.“</w:t>
      </w:r>
    </w:p>
    <w:p>
      <w:pPr>
        <w:widowControl w:val="0"/>
        <w:suppressAutoHyphens/>
        <w:ind w:firstLine="567"/>
        <w:jc w:val="both"/>
        <w:rPr>
          <w:color w:val="000000"/>
          <w:szCs w:val="24"/>
          <w:lang w:eastAsia="lt-LT"/>
        </w:rPr>
      </w:pPr>
    </w:p>
    <w:p>
      <w:pPr>
        <w:widowControl w:val="0"/>
        <w:suppressAutoHyphens/>
        <w:ind w:firstLine="567"/>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14 straipsnio 2 dalies pakeitimas</w:t>
      </w:r>
    </w:p>
    <w:p>
      <w:pPr>
        <w:widowControl w:val="0"/>
        <w:suppressAutoHyphens/>
        <w:ind w:firstLine="567"/>
        <w:jc w:val="both"/>
        <w:rPr>
          <w:color w:val="000000"/>
          <w:szCs w:val="24"/>
          <w:lang w:eastAsia="lt-LT"/>
        </w:rPr>
      </w:pPr>
      <w:r>
        <w:rPr>
          <w:color w:val="000000"/>
          <w:szCs w:val="24"/>
          <w:lang w:eastAsia="lt-LT"/>
        </w:rPr>
        <w:t>Pakeisti 14 straipsnio 2 dalį ir ją išdėstyti taip:</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Privalomojo sveikatos draudimo fondo biudžeto projektą rengia Valstybinė ligonių kasa. Privalomojo sveikatos draudimo fondo biudžeto projektą ir Privalomojo sveikatos draudimo fondo biudžeto ateinančių dvejų metų prognozuojamus rodiklius teikia Vyriausybei Sveikatos apsaugos ministerija kartu su Privalomojo sveikatos draudimo tarybos išvada. Vyriausybė apsvarsto atitinkamų metų Privalomojo sveikatos draudimo fondo biudžeto projektą ir Privalomojo sveikatos draudimo fondo biudžeto ateinančių dvejų metų prognozuojamus rodiklius ir ne vėliau kaip likus 75 kalendorinėms dienoms iki biudžetinių metų pabaigos teikia Seimui svarstyti kartu su Lietuvos Respublikos atitinkamų metų valstybės biudžeto ir savivaldybių biudžetų finansinių rodiklių patvirtinimo įstatymo projektu. Privalomojo sveikatos draudimo fondo biudžetas tvirtinamas Lietuvos Respublikos įstatymu.“</w:t>
      </w:r>
    </w:p>
    <w:p>
      <w:pPr>
        <w:widowControl w:val="0"/>
        <w:suppressAutoHyphens/>
        <w:ind w:firstLine="567"/>
        <w:jc w:val="both"/>
        <w:rPr>
          <w:color w:val="000000"/>
          <w:szCs w:val="24"/>
          <w:lang w:eastAsia="lt-LT"/>
        </w:rPr>
      </w:pPr>
    </w:p>
    <w:p>
      <w:pPr>
        <w:widowControl w:val="0"/>
        <w:suppressAutoHyphens/>
        <w:ind w:firstLine="567"/>
        <w:jc w:val="both"/>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Įstatymo įsigaliojimas</w:t>
      </w:r>
    </w:p>
    <w:p>
      <w:pPr>
        <w:widowControl w:val="0"/>
        <w:suppressAutoHyphens/>
        <w:ind w:firstLine="567"/>
        <w:jc w:val="both"/>
        <w:rPr>
          <w:color w:val="000000"/>
          <w:szCs w:val="24"/>
          <w:lang w:eastAsia="lt-LT"/>
        </w:rPr>
      </w:pPr>
      <w:r>
        <w:rPr>
          <w:color w:val="000000"/>
          <w:szCs w:val="24"/>
          <w:lang w:eastAsia="lt-LT"/>
        </w:rPr>
        <w:t>Šis įstatymas įsigalioja 2014 m. sausio 1 d.</w:t>
      </w:r>
    </w:p>
    <w:p>
      <w:pPr>
        <w:widowControl w:val="0"/>
        <w:suppressAutoHyphens/>
        <w:ind w:firstLine="567"/>
        <w:jc w:val="both"/>
        <w:rPr>
          <w:color w:val="000000"/>
          <w:szCs w:val="24"/>
          <w:lang w:eastAsia="lt-LT"/>
        </w:rPr>
      </w:pPr>
    </w:p>
    <w:p>
      <w:pPr>
        <w:widowControl w:val="0"/>
        <w:suppressAutoHyphens/>
        <w:ind w:firstLine="567"/>
        <w:jc w:val="both"/>
        <w:rPr>
          <w:i/>
          <w:iCs/>
          <w:color w:val="000000"/>
          <w:szCs w:val="24"/>
          <w:lang w:eastAsia="lt-LT"/>
        </w:rPr>
      </w:pPr>
      <w:r>
        <w:rPr>
          <w:i/>
          <w:iCs/>
          <w:color w:val="000000"/>
          <w:szCs w:val="24"/>
          <w:lang w:eastAsia="lt-LT"/>
        </w:rPr>
        <w:t>Skelbiu šį Lietuvos Respublikos Seimo priimtą įstatymą.</w:t>
      </w:r>
    </w:p>
    <w:p>
      <w:pPr>
        <w:widowControl w:val="0"/>
        <w:suppressAutoHyphens/>
        <w:ind w:firstLine="567"/>
        <w:jc w:val="both"/>
        <w:rPr>
          <w:color w:val="000000"/>
          <w:szCs w:val="24"/>
          <w:lang w:eastAsia="lt-LT"/>
        </w:rPr>
      </w:pPr>
    </w:p>
    <w:p>
      <w:pPr>
        <w:widowControl w:val="0"/>
        <w:tabs>
          <w:tab w:val="right" w:pos="9071"/>
        </w:tabs>
        <w:suppressAutoHyphens/>
        <w:rPr>
          <w:caps/>
          <w:color w:val="000000"/>
          <w:szCs w:val="24"/>
          <w:lang w:eastAsia="lt-LT"/>
        </w:rPr>
      </w:pPr>
      <w:r>
        <w:rPr>
          <w:caps/>
          <w:color w:val="000000"/>
          <w:szCs w:val="24"/>
          <w:lang w:eastAsia="lt-LT"/>
        </w:rPr>
        <w:t>RESPUBLIKOS PREZIDENTĖ</w:t>
        <w:tab/>
        <w:t>DALIA GRYBAUSKAITĖ</w:t>
      </w:r>
    </w:p>
    <w:p>
      <w:pPr>
        <w:widowControl w:val="0"/>
        <w:suppressAutoHyphens/>
        <w:jc w:val="center"/>
        <w:rPr>
          <w:caps/>
          <w:color w:val="000000"/>
          <w:szCs w:val="24"/>
          <w:lang w:eastAsia="lt-LT"/>
        </w:rPr>
      </w:pPr>
      <w:r>
        <w:rPr>
          <w:color w:val="000000"/>
          <w:szCs w:val="24"/>
          <w:lang w:eastAsia="lt-LT"/>
        </w:rPr>
        <w:t>_________________</w:t>
      </w: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1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2518</Characters>
  <Application>Microsoft Office Word</Application>
  <DocSecurity>4</DocSecurity>
  <Lines>52</Lines>
  <Paragraphs>21</Paragraphs>
  <ScaleCrop>false</ScaleCrop>
  <Company/>
  <LinksUpToDate>false</LinksUpToDate>
  <CharactersWithSpaces>2840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2015-06-26T16:49:00Z</dcterms:created>
  <dc:creator>Rima</dc:creator>
  <lastModifiedBy>Adlib User</lastModifiedBy>
  <dcterms:modified xsi:type="dcterms:W3CDTF">2015-06-26T16:49:00Z</dcterms:modified>
  <revision>2</revision>
  <dc:title>LIETUVOS RESPUBLIKOS SVEIKATOS DRAUDIMO ĮSTATYMO 131 IR 14 STRAIPSNIŲ PAKEITIMO ĮSTATYMAS</dc:title>
</coreProperties>
</file>