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D7" w:rsidRDefault="00E34DB7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:rsidR="00D166D7" w:rsidRDefault="00E34DB7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:rsidR="00D166D7" w:rsidRDefault="00D166D7">
      <w:pPr>
        <w:widowControl w:val="0"/>
        <w:suppressAutoHyphens/>
        <w:jc w:val="center"/>
        <w:rPr>
          <w:color w:val="000000"/>
        </w:rPr>
      </w:pP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MEDICINOS NORMOS MN 151:2010 „VAIKŲ INTENSYVIOSIOS TERAPIJOS GYDYTOJAS. TEISĖS, PAREIGOS, KOMPETENCIJA IR ATSAKOMYBĖ“ PATVIRTINIMO</w:t>
      </w:r>
    </w:p>
    <w:p w:rsidR="00D166D7" w:rsidRDefault="00D166D7">
      <w:pPr>
        <w:widowControl w:val="0"/>
        <w:suppressAutoHyphens/>
        <w:jc w:val="center"/>
        <w:rPr>
          <w:color w:val="000000"/>
        </w:rPr>
      </w:pPr>
    </w:p>
    <w:p w:rsidR="00D166D7" w:rsidRDefault="00E34DB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</w:t>
      </w:r>
      <w:r>
        <w:rPr>
          <w:color w:val="000000"/>
        </w:rPr>
        <w:t xml:space="preserve"> 8 d. Nr. V-968</w:t>
      </w:r>
    </w:p>
    <w:p w:rsidR="00D166D7" w:rsidRDefault="00E34DB7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:rsidR="00D166D7" w:rsidRDefault="00D166D7">
      <w:pPr>
        <w:widowControl w:val="0"/>
        <w:suppressAutoHyphens/>
        <w:jc w:val="both"/>
        <w:rPr>
          <w:color w:val="000000"/>
        </w:rPr>
      </w:pP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Vykdydamas Lietuvos Respublikos sveikatos sistemos įstatymą (Žin., 1994, Nr. </w:t>
      </w:r>
      <w:hyperlink r:id="rId10" w:tgtFrame="_blank" w:history="1">
        <w:r>
          <w:rPr>
            <w:color w:val="0000FF" w:themeColor="hyperlink"/>
            <w:u w:val="single"/>
          </w:rPr>
          <w:t>63-1231</w:t>
        </w:r>
      </w:hyperlink>
      <w:r>
        <w:rPr>
          <w:color w:val="000000"/>
        </w:rPr>
        <w:t xml:space="preserve">; 1998, Nr. </w:t>
      </w:r>
      <w:hyperlink r:id="rId11" w:tgtFrame="_blank" w:history="1">
        <w:r>
          <w:rPr>
            <w:color w:val="0000FF" w:themeColor="hyperlink"/>
            <w:u w:val="single"/>
          </w:rPr>
          <w:t>112-3099</w:t>
        </w:r>
      </w:hyperlink>
      <w:r>
        <w:rPr>
          <w:color w:val="000000"/>
        </w:rPr>
        <w:t>),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tvirtinu</w:t>
      </w:r>
      <w:r>
        <w:rPr>
          <w:color w:val="000000"/>
        </w:rPr>
        <w:t xml:space="preserve"> Lietuvos medicinos normą MN 151:2010 „Vaikų intensyviosios terapijos gydytojas. Teisės, pareigos, kompetencija ir atsakomybė“ (pridedama).</w:t>
      </w:r>
    </w:p>
    <w:p w:rsidR="00D166D7" w:rsidRDefault="00D166D7">
      <w:pPr>
        <w:widowControl w:val="0"/>
        <w:suppressAutoHyphens/>
        <w:jc w:val="both"/>
        <w:rPr>
          <w:color w:val="000000"/>
        </w:rPr>
      </w:pPr>
    </w:p>
    <w:p w:rsidR="00D166D7" w:rsidRDefault="00E34DB7">
      <w:pPr>
        <w:widowControl w:val="0"/>
        <w:suppressAutoHyphens/>
        <w:jc w:val="both"/>
        <w:rPr>
          <w:color w:val="000000"/>
        </w:rPr>
      </w:pPr>
    </w:p>
    <w:p w:rsidR="00D166D7" w:rsidRDefault="00E34DB7" w:rsidP="00E34DB7">
      <w:pPr>
        <w:widowControl w:val="0"/>
        <w:tabs>
          <w:tab w:val="right" w:pos="9071"/>
        </w:tabs>
        <w:suppressAutoHyphens/>
        <w:rPr>
          <w:bCs/>
          <w:color w:val="000000"/>
        </w:rPr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p w:rsidR="00E34DB7" w:rsidRDefault="00E34DB7">
      <w:pPr>
        <w:widowControl w:val="0"/>
        <w:suppressAutoHyphens/>
        <w:ind w:firstLine="5102"/>
        <w:sectPr w:rsidR="00E34DB7" w:rsidSect="00E34D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701" w:header="709" w:footer="709" w:gutter="0"/>
          <w:cols w:space="708"/>
          <w:titlePg/>
          <w:docGrid w:linePitch="326"/>
        </w:sectPr>
      </w:pPr>
    </w:p>
    <w:p w:rsidR="00D166D7" w:rsidRDefault="00E34DB7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:rsidR="00D166D7" w:rsidRDefault="00E34DB7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Lietuvos Respublikos sveikatos </w:t>
      </w:r>
    </w:p>
    <w:p w:rsidR="00D166D7" w:rsidRDefault="00E34DB7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apsaugos ministro 2010 m. lapkričio 8 d. </w:t>
      </w:r>
    </w:p>
    <w:p w:rsidR="00D166D7" w:rsidRDefault="00E34DB7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>įsakymu Nr. V-968</w:t>
      </w:r>
    </w:p>
    <w:p w:rsidR="00D166D7" w:rsidRDefault="00D166D7">
      <w:pPr>
        <w:widowControl w:val="0"/>
        <w:suppressAutoHyphens/>
        <w:ind w:firstLine="5102"/>
        <w:rPr>
          <w:color w:val="000000"/>
        </w:rPr>
      </w:pP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LIETUVOS MEDICINOS NORMA </w:t>
      </w: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MN 151:2010</w:t>
      </w:r>
    </w:p>
    <w:p w:rsidR="00D166D7" w:rsidRDefault="00D166D7">
      <w:pPr>
        <w:widowControl w:val="0"/>
        <w:suppressAutoHyphens/>
        <w:jc w:val="center"/>
        <w:rPr>
          <w:b/>
          <w:bCs/>
          <w:caps/>
          <w:color w:val="000000"/>
        </w:rPr>
      </w:pP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Vaikų intensyviosios terapijos GYDYTOJAS. </w:t>
      </w: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TEISĖS, PAREIGOS, KOMPETENCIJA IR ATSAKOMYBĖ</w:t>
      </w: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 xml:space="preserve">TAIKYMO </w:t>
      </w:r>
      <w:r>
        <w:rPr>
          <w:b/>
          <w:bCs/>
          <w:caps/>
          <w:color w:val="000000"/>
        </w:rPr>
        <w:t>SRITIS</w:t>
      </w:r>
    </w:p>
    <w:p w:rsidR="00D166D7" w:rsidRDefault="00D166D7">
      <w:pPr>
        <w:widowControl w:val="0"/>
        <w:suppressAutoHyphens/>
        <w:jc w:val="both"/>
        <w:rPr>
          <w:color w:val="000000"/>
        </w:rPr>
      </w:pP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 medicinos norma nustato vaikų intensyviosios terapijos gydytojo veiklos sritis, teises, pareigas, kompetenciją ir atsakomybę.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 medicinos norma privaloma visiems Lietuvos Respublikos vaikų intensyviosios terapijos gydytojams, jų d</w:t>
      </w:r>
      <w:r>
        <w:rPr>
          <w:color w:val="000000"/>
        </w:rPr>
        <w:t>arbdaviams, taip pat institucijoms, rengiančioms ir tobulinančioms šiuos specialistus bei kontroliuojančioms jų veiklą.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NUORODOS</w:t>
      </w:r>
    </w:p>
    <w:p w:rsidR="00D166D7" w:rsidRDefault="00D166D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Rengiant šią medicinos normą vadovautasi šiais Lietuvos Respublikos teisės aktais: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Lietuvos Respublik</w:t>
      </w:r>
      <w:r>
        <w:rPr>
          <w:color w:val="000000"/>
        </w:rPr>
        <w:t xml:space="preserve">os sveikatos sistemos įstatymu (Žin., 1994, Nr. </w:t>
      </w:r>
      <w:hyperlink r:id="rId18" w:tgtFrame="_blank" w:history="1">
        <w:r>
          <w:rPr>
            <w:color w:val="0000FF" w:themeColor="hyperlink"/>
            <w:u w:val="single"/>
          </w:rPr>
          <w:t>63-1231</w:t>
        </w:r>
      </w:hyperlink>
      <w:r>
        <w:rPr>
          <w:color w:val="000000"/>
        </w:rPr>
        <w:t xml:space="preserve">; 1998, Nr. </w:t>
      </w:r>
      <w:hyperlink r:id="rId19" w:tgtFrame="_blank" w:history="1">
        <w:r>
          <w:rPr>
            <w:color w:val="0000FF" w:themeColor="hyperlink"/>
            <w:u w:val="single"/>
          </w:rPr>
          <w:t>112-3099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Lietuvos Re</w:t>
      </w:r>
      <w:r>
        <w:rPr>
          <w:color w:val="000000"/>
        </w:rPr>
        <w:t xml:space="preserve">spublikos sveikatos priežiūros įstaigų įstatymu (Žin., 1996, Nr. </w:t>
      </w:r>
      <w:hyperlink r:id="rId20" w:tgtFrame="_blank" w:history="1">
        <w:r>
          <w:rPr>
            <w:color w:val="0000FF" w:themeColor="hyperlink"/>
            <w:u w:val="single"/>
          </w:rPr>
          <w:t>66-1572</w:t>
        </w:r>
      </w:hyperlink>
      <w:r>
        <w:rPr>
          <w:color w:val="000000"/>
        </w:rPr>
        <w:t xml:space="preserve">; 1998, Nr. </w:t>
      </w:r>
      <w:hyperlink r:id="rId21" w:tgtFrame="_blank" w:history="1">
        <w:r>
          <w:rPr>
            <w:color w:val="0000FF" w:themeColor="hyperlink"/>
            <w:u w:val="single"/>
          </w:rPr>
          <w:t>109-2995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.3</w:t>
      </w:r>
      <w:r>
        <w:rPr>
          <w:color w:val="000000"/>
        </w:rPr>
        <w:t xml:space="preserve">. Lietuvos Respublikos sveikatos draudimo įstatymu (Žin., 1996, Nr. </w:t>
      </w:r>
      <w:hyperlink r:id="rId22" w:tgtFrame="_blank" w:history="1">
        <w:r>
          <w:rPr>
            <w:color w:val="0000FF" w:themeColor="hyperlink"/>
            <w:u w:val="single"/>
          </w:rPr>
          <w:t>55-1287</w:t>
        </w:r>
      </w:hyperlink>
      <w:r>
        <w:rPr>
          <w:color w:val="000000"/>
        </w:rPr>
        <w:t xml:space="preserve">; 2002, Nr. </w:t>
      </w:r>
      <w:hyperlink r:id="rId23" w:tgtFrame="_blank" w:history="1">
        <w:r>
          <w:rPr>
            <w:color w:val="0000FF" w:themeColor="hyperlink"/>
            <w:u w:val="single"/>
          </w:rPr>
          <w:t>123-5512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 xml:space="preserve">. Lietuvos Respublikos medicinos praktikos įstatymu (Žin., 1996, Nr. </w:t>
      </w:r>
      <w:hyperlink r:id="rId24" w:tgtFrame="_blank" w:history="1">
        <w:r>
          <w:rPr>
            <w:color w:val="0000FF" w:themeColor="hyperlink"/>
            <w:u w:val="single"/>
          </w:rPr>
          <w:t>102-2313</w:t>
        </w:r>
      </w:hyperlink>
      <w:r>
        <w:rPr>
          <w:color w:val="000000"/>
        </w:rPr>
        <w:t xml:space="preserve">; 2004, Nr. </w:t>
      </w:r>
      <w:hyperlink r:id="rId25" w:tgtFrame="_blank" w:history="1">
        <w:r>
          <w:rPr>
            <w:color w:val="0000FF" w:themeColor="hyperlink"/>
            <w:u w:val="single"/>
          </w:rPr>
          <w:t>68-2365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 xml:space="preserve">. Lietuvos Respublikos pacientų teisių ir žalos sveikatai atlyginimo įstatymu (Žin., 1996, Nr. </w:t>
      </w:r>
      <w:hyperlink r:id="rId26" w:tgtFrame="_blank" w:history="1">
        <w:r>
          <w:rPr>
            <w:color w:val="0000FF" w:themeColor="hyperlink"/>
            <w:u w:val="single"/>
          </w:rPr>
          <w:t>102-2317</w:t>
        </w:r>
      </w:hyperlink>
      <w:r>
        <w:rPr>
          <w:color w:val="000000"/>
        </w:rPr>
        <w:t>; 2009, Nr. 145-6425);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3.6</w:t>
      </w:r>
      <w:r>
        <w:rPr>
          <w:color w:val="000000"/>
        </w:rPr>
        <w:t>. Lietuvos Respubl</w:t>
      </w:r>
      <w:r>
        <w:rPr>
          <w:color w:val="000000"/>
        </w:rPr>
        <w:t xml:space="preserve">ikos žmogaus mirties nustatymo registravimo ir kritinių būklių įstatymu (Žin., 1997, Nr. </w:t>
      </w:r>
      <w:hyperlink r:id="rId27" w:tgtFrame="_blank" w:history="1">
        <w:r>
          <w:rPr>
            <w:color w:val="0000FF" w:themeColor="hyperlink"/>
            <w:u w:val="single"/>
          </w:rPr>
          <w:t>30-712</w:t>
        </w:r>
      </w:hyperlink>
      <w:r>
        <w:rPr>
          <w:color w:val="000000"/>
        </w:rPr>
        <w:t>; 2002, Nr. 43-0601);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3.7</w:t>
      </w:r>
      <w:r>
        <w:rPr>
          <w:color w:val="000000"/>
        </w:rPr>
        <w:t>. Lietuvos Respublikos žmogaus audinių, ląstelių ir o</w:t>
      </w:r>
      <w:r>
        <w:rPr>
          <w:color w:val="000000"/>
        </w:rPr>
        <w:t xml:space="preserve">rganų donorystės ir transplantacijos įstatymu (Žin., 1996, Nr. </w:t>
      </w:r>
      <w:hyperlink r:id="rId28" w:tgtFrame="_blank" w:history="1">
        <w:r>
          <w:rPr>
            <w:color w:val="0000FF" w:themeColor="hyperlink"/>
            <w:u w:val="single"/>
          </w:rPr>
          <w:t>116-2696</w:t>
        </w:r>
      </w:hyperlink>
      <w:r>
        <w:rPr>
          <w:color w:val="000000"/>
        </w:rPr>
        <w:t>; 2004, Nr. 55-1886);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3.8</w:t>
      </w:r>
      <w:r>
        <w:rPr>
          <w:color w:val="000000"/>
        </w:rPr>
        <w:t>. Lietuvos Respublikos Vyriausybės 2003 m. spalio 31 d. nutarimu Nr. 1359 „Dė</w:t>
      </w:r>
      <w:r>
        <w:rPr>
          <w:color w:val="000000"/>
        </w:rPr>
        <w:t xml:space="preserve">l gydytojų rengimo“ (Žin., 2003, Nr. </w:t>
      </w:r>
      <w:hyperlink r:id="rId29" w:tgtFrame="_blank" w:history="1">
        <w:r>
          <w:rPr>
            <w:color w:val="0000FF" w:themeColor="hyperlink"/>
            <w:u w:val="single"/>
          </w:rPr>
          <w:t>104-4667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3.9</w:t>
      </w:r>
      <w:r>
        <w:rPr>
          <w:color w:val="000000"/>
        </w:rPr>
        <w:t>. Lietuvos Respublikos sveikatos apsaugos ministro 2000 m. lapkričio 9 d. įsakymu Nr. 634 „Dėl Bendrųjų reikalavimų medici</w:t>
      </w:r>
      <w:r>
        <w:rPr>
          <w:color w:val="000000"/>
        </w:rPr>
        <w:t xml:space="preserve">nos normoms rengti patvirtinimo“ (Žin., 2000, Nr. </w:t>
      </w:r>
      <w:hyperlink r:id="rId30" w:tgtFrame="_blank" w:history="1">
        <w:r>
          <w:rPr>
            <w:color w:val="0000FF" w:themeColor="hyperlink"/>
            <w:u w:val="single"/>
          </w:rPr>
          <w:t>100-3192</w:t>
        </w:r>
      </w:hyperlink>
      <w:r>
        <w:rPr>
          <w:color w:val="000000"/>
        </w:rPr>
        <w:t xml:space="preserve">; 2003, Nr. </w:t>
      </w:r>
      <w:hyperlink r:id="rId31" w:tgtFrame="_blank" w:history="1">
        <w:r>
          <w:rPr>
            <w:color w:val="0000FF" w:themeColor="hyperlink"/>
            <w:u w:val="single"/>
          </w:rPr>
          <w:t>112-5031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3.10</w:t>
      </w:r>
      <w:r>
        <w:rPr>
          <w:color w:val="000000"/>
        </w:rPr>
        <w:t>. Lietuvo</w:t>
      </w:r>
      <w:r>
        <w:rPr>
          <w:color w:val="000000"/>
        </w:rPr>
        <w:t xml:space="preserve">s Respublikos sveikatos apsaugos ministro 2002 m. sausio 28 d. įsakymu Nr. 58 „Dėl Sveikatos priežiūros specialistų profesinės kompetencijos patikrinimo tvarkos“ (Žin., 2002, Nr. </w:t>
      </w:r>
      <w:hyperlink r:id="rId32" w:tgtFrame="_blank" w:history="1">
        <w:r>
          <w:rPr>
            <w:color w:val="0000FF" w:themeColor="hyperlink"/>
            <w:u w:val="single"/>
          </w:rPr>
          <w:t>12-430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3.11</w:t>
      </w:r>
      <w:r>
        <w:rPr>
          <w:color w:val="000000"/>
        </w:rPr>
        <w:t xml:space="preserve">. Lietuvos Respublikos sveikatos apsaugos ministro 2002 m. kovo 18 d. įsakymu Nr. 132 „Dėl Sveikatos priežiūros ir farmacijos specialistų profesinės kvalifikacijos tobulinimo ir jo finansavimo tvarkos“ (Žin., 2002, Nr. </w:t>
      </w:r>
      <w:hyperlink r:id="rId33" w:tgtFrame="_blank" w:history="1">
        <w:r>
          <w:rPr>
            <w:color w:val="0000FF" w:themeColor="hyperlink"/>
            <w:u w:val="single"/>
          </w:rPr>
          <w:t>31-1180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3.12</w:t>
      </w:r>
      <w:r>
        <w:rPr>
          <w:color w:val="000000"/>
        </w:rPr>
        <w:t xml:space="preserve">. Lietuvos Respublikos sveikatos apsaugos ministro 2003 m. birželio 17 d. įsakymu Nr. V-357 „Dėl gaivinimo standartų patvirtinimo“ (Žin., 2003, Nr. </w:t>
      </w:r>
      <w:hyperlink r:id="rId34" w:tgtFrame="_blank" w:history="1">
        <w:r>
          <w:rPr>
            <w:color w:val="0000FF" w:themeColor="hyperlink"/>
            <w:u w:val="single"/>
          </w:rPr>
          <w:t>64-2914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3.13</w:t>
      </w:r>
      <w:r>
        <w:rPr>
          <w:color w:val="000000"/>
        </w:rPr>
        <w:t>. Lietuvos Respublikos sveikatos apsaugos ministro 2004 m. balandžio 8 d. įsakymu Nr. V-208 „Dėl Būtinosios medicinos pagalbos ir Būtinosios medicinos pagalbos paslaugų tei</w:t>
      </w:r>
      <w:r>
        <w:rPr>
          <w:color w:val="000000"/>
        </w:rPr>
        <w:t xml:space="preserve">kimo tvarkos bei masto patvirtinimo“ (Žin., 2004, Nr. </w:t>
      </w:r>
      <w:hyperlink r:id="rId35" w:tgtFrame="_blank" w:history="1">
        <w:r>
          <w:rPr>
            <w:color w:val="0000FF" w:themeColor="hyperlink"/>
            <w:u w:val="single"/>
          </w:rPr>
          <w:t>55-1915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3.14</w:t>
      </w:r>
      <w:r>
        <w:rPr>
          <w:color w:val="000000"/>
        </w:rPr>
        <w:t>. Lietuvos Respublikos sveikatos apsaugos ministro 2004 m. birželio 28 d. įsakymu Nr. V-469 „Dėl Medicino</w:t>
      </w:r>
      <w:r>
        <w:rPr>
          <w:color w:val="000000"/>
        </w:rPr>
        <w:t xml:space="preserve">s praktikos profesinių kvalifikacijų rūšių sąrašo patvirtinimo“ (Žin., 2004, Nr. </w:t>
      </w:r>
      <w:hyperlink r:id="rId36" w:tgtFrame="_blank" w:history="1">
        <w:r>
          <w:rPr>
            <w:color w:val="0000FF" w:themeColor="hyperlink"/>
            <w:u w:val="single"/>
          </w:rPr>
          <w:t>105-3906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3.15</w:t>
      </w:r>
      <w:r>
        <w:rPr>
          <w:color w:val="000000"/>
        </w:rPr>
        <w:t xml:space="preserve">. Lietuvos Respublikos sveikatos apsaugos ministro 2004 m. gegužės 14 d. įsakymu Nr. V-364 „Dėl licencijuojamų asmens sveikatos priežiūros paslaugų sąrašų patvirtinimo“ (Žin., 2004, Nr. </w:t>
      </w:r>
      <w:hyperlink r:id="rId37" w:tgtFrame="_blank" w:history="1">
        <w:r>
          <w:rPr>
            <w:color w:val="0000FF" w:themeColor="hyperlink"/>
            <w:u w:val="single"/>
          </w:rPr>
          <w:t>86-3152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3.16</w:t>
      </w:r>
      <w:r>
        <w:rPr>
          <w:color w:val="000000"/>
        </w:rPr>
        <w:t xml:space="preserve">. Lietuvos Respublikos sveikatos apsaugos ministro 2004 m. gegužės 27 d. įsakymu Nr. V-396 „Dėl Medicinos praktikos licencijavimo taisyklių patvirtinimo“ (Žin., 2004, Nr. </w:t>
      </w:r>
      <w:hyperlink r:id="rId38" w:tgtFrame="_blank" w:history="1">
        <w:r>
          <w:rPr>
            <w:color w:val="0000FF" w:themeColor="hyperlink"/>
            <w:u w:val="single"/>
          </w:rPr>
          <w:t>90-3316</w:t>
        </w:r>
      </w:hyperlink>
      <w:r>
        <w:rPr>
          <w:color w:val="000000"/>
        </w:rPr>
        <w:t xml:space="preserve">; 2005, Nr. </w:t>
      </w:r>
      <w:hyperlink r:id="rId39" w:tgtFrame="_blank" w:history="1">
        <w:r>
          <w:rPr>
            <w:color w:val="0000FF" w:themeColor="hyperlink"/>
            <w:u w:val="single"/>
          </w:rPr>
          <w:t>37-1212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3.17</w:t>
      </w:r>
      <w:r>
        <w:rPr>
          <w:color w:val="000000"/>
        </w:rPr>
        <w:t>. Lietuvos Respublikos sveikatos apsaugos ministro 2004 m. rugsėjo 29 d. įsakymu Nr. V-680 „Dėl medicinos praktikos lic</w:t>
      </w:r>
      <w:r>
        <w:rPr>
          <w:color w:val="000000"/>
        </w:rPr>
        <w:t xml:space="preserve">encijų išdavimo gydytojams, turintiems specializuotos medicinos praktikos licenciją ar sertifikatą, ir teisės verstis siaura medicinos praktika įgijimo“ (Žin., 2004, Nr. </w:t>
      </w:r>
      <w:hyperlink r:id="rId40" w:tgtFrame="_blank" w:history="1">
        <w:r>
          <w:rPr>
            <w:color w:val="0000FF" w:themeColor="hyperlink"/>
            <w:u w:val="single"/>
          </w:rPr>
          <w:t>149-542</w:t>
        </w:r>
        <w:r>
          <w:rPr>
            <w:color w:val="0000FF" w:themeColor="hyperlink"/>
            <w:u w:val="single"/>
          </w:rPr>
          <w:t>6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3.18</w:t>
      </w:r>
      <w:r>
        <w:rPr>
          <w:color w:val="000000"/>
        </w:rPr>
        <w:t xml:space="preserve">. Lietuvos Respublikos sveikatos apsaugos ministro 2005 m. spalio 27 d. įsakymu Nr. V-827 „Dėl reanimacijos ir intensyviosios terapijos paslaugų vaikams ir suaugusiesiems sąlygų ir tvarkos aprašų tvirtinimo“ (Žin., 2005, Nr. </w:t>
      </w:r>
      <w:hyperlink r:id="rId41" w:tgtFrame="_blank" w:history="1">
        <w:r>
          <w:rPr>
            <w:color w:val="0000FF" w:themeColor="hyperlink"/>
            <w:u w:val="single"/>
          </w:rPr>
          <w:t>128-4644</w:t>
        </w:r>
      </w:hyperlink>
      <w:r>
        <w:rPr>
          <w:color w:val="000000"/>
        </w:rPr>
        <w:t>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3.19</w:t>
      </w:r>
      <w:r>
        <w:rPr>
          <w:color w:val="000000"/>
        </w:rPr>
        <w:t xml:space="preserve">. Lietuvos Respublikos sveikatos apsaugos ministro 2010 m. gegužės 3 d. įsakymu Nr. V-383 „Dėl Medicinos prietaisų instaliavimo, naudojimo ir priežiūros tvarkos aprašo patvirtinimo“ (Žin., 2010, Nr. </w:t>
      </w:r>
      <w:hyperlink r:id="rId42" w:tgtFrame="_blank" w:history="1">
        <w:r>
          <w:rPr>
            <w:color w:val="0000FF" w:themeColor="hyperlink"/>
            <w:u w:val="single"/>
          </w:rPr>
          <w:t>54-2660</w:t>
        </w:r>
      </w:hyperlink>
      <w:r>
        <w:rPr>
          <w:color w:val="000000"/>
        </w:rPr>
        <w:t>).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TERMINAI IR APIBRĖŽIMAI</w:t>
      </w:r>
    </w:p>
    <w:p w:rsidR="00D166D7" w:rsidRDefault="00D166D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Šioje medicinos normoje vartojami terminai ir apibrėžimai: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Vaikų intensyviosios terapijos gydytojas</w:t>
      </w:r>
      <w:r>
        <w:rPr>
          <w:color w:val="000000"/>
        </w:rPr>
        <w:t xml:space="preserve"> – medicinos gydytojas, teisės aktų nustatyta tvarka įgijęs vaikų intensyviosio</w:t>
      </w:r>
      <w:r>
        <w:rPr>
          <w:color w:val="000000"/>
        </w:rPr>
        <w:t>s terapijos gydytojo profesinę kvalifikaciją.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Vaikų intensyviosios terapijos gydytojo praktika</w:t>
      </w:r>
      <w:r>
        <w:rPr>
          <w:color w:val="000000"/>
        </w:rPr>
        <w:t xml:space="preserve"> – teisės aktų reglamentuota vaikų intensyviosios terapijos gydytojo, turinčio licenciją verstis medicinos praktika pagal vaikų intensyviosios terapijos gydytojo </w:t>
      </w:r>
      <w:r>
        <w:rPr>
          <w:color w:val="000000"/>
        </w:rPr>
        <w:t>profesinę kvalifikaciją, atliekama asmens sveikatos priežiūra.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Intensyvioji terapija</w:t>
      </w:r>
      <w:r>
        <w:rPr>
          <w:color w:val="000000"/>
        </w:rPr>
        <w:t xml:space="preserve"> – medicinos mokslo sritis apie sunkiai sergančių ar kritinės būklės ligonių, kuriems reikalinga intensyvi priežiūra, gyvybės ar organų funkcijų palaikymą.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Vaikų intensyvio</w:t>
      </w:r>
      <w:r>
        <w:rPr>
          <w:b/>
          <w:bCs/>
          <w:color w:val="000000"/>
        </w:rPr>
        <w:t>ji terapija</w:t>
      </w:r>
      <w:r>
        <w:rPr>
          <w:color w:val="000000"/>
        </w:rPr>
        <w:t xml:space="preserve"> – vaikų iki 18 metų intensyvioji terapija pagal jų amžiaus fiziologijos ir patologijos ypatumus.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Sedacija – </w:t>
      </w:r>
      <w:r>
        <w:rPr>
          <w:color w:val="000000"/>
        </w:rPr>
        <w:t>medikamentų sukeltas įvairaus lygio sąmonės slopinimas, silpninantis stresinį atsaką, lengvinantis specifinių procedūrų, gydymo ir slaug</w:t>
      </w:r>
      <w:r>
        <w:rPr>
          <w:color w:val="000000"/>
        </w:rPr>
        <w:t>os toleravimą, užtikrinantis paciento miegą ir ramybę.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Skausmo malšinimas</w:t>
      </w:r>
      <w:r>
        <w:rPr>
          <w:color w:val="000000"/>
        </w:rPr>
        <w:t xml:space="preserve"> – nemalonių emocinių ir jutiminių išgyvenimų, susijusių su audinių pažeidimu, pašalinimas.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Bendroji nejautra</w:t>
      </w:r>
      <w:r>
        <w:rPr>
          <w:color w:val="000000"/>
        </w:rPr>
        <w:t xml:space="preserve"> – dirbtinai sukeltas grįžtamasis centrinės nervų sistemos slopinimas, kai</w:t>
      </w:r>
      <w:r>
        <w:rPr>
          <w:color w:val="000000"/>
        </w:rPr>
        <w:t xml:space="preserve"> netenkama sąmonės ir jutimų, atsipalaiduoja skersaruožiai raumenys ir iš dalies nuslopinamos vegetacinės funkcijos.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Vietinė nejautra</w:t>
      </w:r>
      <w:r>
        <w:rPr>
          <w:color w:val="000000"/>
        </w:rPr>
        <w:t xml:space="preserve"> – tam tikros kūno vietos ar srities skausmo slopinimas.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Vaikų gaivinimas</w:t>
      </w:r>
      <w:r>
        <w:rPr>
          <w:color w:val="000000"/>
        </w:rPr>
        <w:t xml:space="preserve"> – medicinos pagalbos priemonių taikymas, siekiant</w:t>
      </w:r>
      <w:r>
        <w:rPr>
          <w:color w:val="000000"/>
        </w:rPr>
        <w:t xml:space="preserve"> atnaujinti sutrikusius arba išnykusius kvėpavimą, kraujotaką, galvos smegenų veiklą ir kitas gyvybiškai svarbias vaiko organizmo funkcijas gyvybei pavojingų būklių atvejais.</w:t>
      </w:r>
    </w:p>
    <w:p w:rsidR="00D166D7" w:rsidRDefault="00E34DB7"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:rsidR="00D166D7" w:rsidRDefault="00D166D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Vaikų intensyviosios terapijos gydytojo p</w:t>
      </w:r>
      <w:r>
        <w:rPr>
          <w:color w:val="000000"/>
        </w:rPr>
        <w:t>rofesinė kvalifikacija įgyjama baigus universitetines medicinos studijas ir vaikų intensyviosios terapijos gydytojo rezidentūrą. Užsienyje įgyta vaikų intensyviosios terapijos gydytojo profesinė kvalifikacija pripažįstama Lietuvos Respublikos teisės aktų n</w:t>
      </w:r>
      <w:r>
        <w:rPr>
          <w:color w:val="000000"/>
        </w:rPr>
        <w:t>ustatyta tvarka.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Teisę verstis vaikų intensyviosios terapijos gydytojo praktika turi asmuo, turintis Lietuvos Respublikos teisės aktų nustatyta tvarka išduotą ir galiojančią medicinos praktikos licenciją verstis medicinos praktika pagal vaikų intens</w:t>
      </w:r>
      <w:r>
        <w:rPr>
          <w:color w:val="000000"/>
        </w:rPr>
        <w:t>yviosios terapijos gydytojo profesinę kvalifikaciją.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Vaikų intensyviosios terapijos gydytojas verčiasi vaikų intensyviosios terapijos gydytojo praktika asmens sveikatos priežiūros įstaigose, turinčiose galiojančią įstaigos asmens sveikatos priežiūro</w:t>
      </w:r>
      <w:r>
        <w:rPr>
          <w:color w:val="000000"/>
        </w:rPr>
        <w:t>s licenciją vaikų reanimacijos ir intensyviosios terapijos paslaugoms teikti.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  <w:spacing w:val="-7"/>
        </w:rPr>
      </w:pPr>
      <w:r>
        <w:rPr>
          <w:color w:val="000000"/>
        </w:rPr>
        <w:t>8</w:t>
      </w:r>
      <w:r>
        <w:rPr>
          <w:color w:val="000000"/>
        </w:rPr>
        <w:t xml:space="preserve">. Vaikų intensyviosios terapijos gydytojas </w:t>
      </w:r>
      <w:r>
        <w:rPr>
          <w:color w:val="000000"/>
          <w:spacing w:val="2"/>
        </w:rPr>
        <w:t>dirba savarankiškai, bendradarbiaudamas su kitais sveikatos priežiūros paslaugas teikiančiais specialistais.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  <w:spacing w:val="-7"/>
        </w:rPr>
      </w:pPr>
      <w:r>
        <w:rPr>
          <w:color w:val="000000"/>
        </w:rPr>
        <w:t>9</w:t>
      </w:r>
      <w:r>
        <w:rPr>
          <w:color w:val="000000"/>
        </w:rPr>
        <w:t xml:space="preserve">. Vaikų intensyviosios terapijos gydytojas </w:t>
      </w:r>
      <w:r>
        <w:rPr>
          <w:color w:val="000000"/>
          <w:spacing w:val="2"/>
        </w:rPr>
        <w:t>vadovaujasi Lietuvos Respublikos įstatymais, šia medicinos norma ir kitais teisės aktais, įstaigos, kurioje dirba, įstatais (nuostatais), vidaus tvarkos taisyklėmis bei savo pareigybės aprašymu.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TEISĖS</w:t>
      </w:r>
    </w:p>
    <w:p w:rsidR="00D166D7" w:rsidRDefault="00D166D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Vaikų intensyviosios terapijos gydytojas turi teisę: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1"/>
        </w:rPr>
        <w:t>10.1</w:t>
      </w:r>
      <w:r>
        <w:rPr>
          <w:color w:val="000000"/>
          <w:spacing w:val="-1"/>
        </w:rPr>
        <w:t>. verstis vaikų intensyviosios terapijos gydytojo praktika šios medicinos normos ir kitų teisės aktų nustatyta tvarka;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</w:t>
      </w:r>
      <w:r>
        <w:rPr>
          <w:color w:val="000000"/>
        </w:rPr>
        <w:t>. turėti medicinos gydytojo spaudą, išduotą Lietuvos Respublik</w:t>
      </w:r>
      <w:r>
        <w:rPr>
          <w:color w:val="000000"/>
        </w:rPr>
        <w:t>os teisės aktų nustatyta tvarka;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10.3</w:t>
      </w:r>
      <w:r>
        <w:rPr>
          <w:color w:val="000000"/>
        </w:rPr>
        <w:t>. išrašyti receptus Lietuvos Respublikos teisės aktų nustatyta tvarka;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10.4</w:t>
      </w:r>
      <w:r>
        <w:rPr>
          <w:color w:val="000000"/>
        </w:rPr>
        <w:t>. išduoti asmens sveikatos pažymėjimus (pažymas) Lietuvos Respublikos teisės aktų nustatyta tvarka;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10.5</w:t>
      </w:r>
      <w:r>
        <w:rPr>
          <w:color w:val="000000"/>
        </w:rPr>
        <w:t>. konsultuoti kitų profesini</w:t>
      </w:r>
      <w:r>
        <w:rPr>
          <w:color w:val="000000"/>
        </w:rPr>
        <w:t>ų kvalifikacijų gydytojus vaikų intensyviosios terapijos klausimais;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10.6</w:t>
      </w:r>
      <w:r>
        <w:rPr>
          <w:color w:val="000000"/>
        </w:rPr>
        <w:t xml:space="preserve"> atsisakyti teikti sveikatos priežiūros paslaugas, jei tai prieštarauja gydytojo profesinės etikos principams (išskyrus atvejus, kai teikiama būtinoji pagalba) arba jei tai gali s</w:t>
      </w:r>
      <w:r>
        <w:rPr>
          <w:color w:val="000000"/>
        </w:rPr>
        <w:t>ukelti realų pavojų paciento ar gydytojo gyvybei;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10.7</w:t>
      </w:r>
      <w:r>
        <w:rPr>
          <w:color w:val="000000"/>
        </w:rPr>
        <w:t>. dalyvauti mokslinėje tiriamojoje ir pedagoginėje veikloje, taip pat kuriant ir diegiant naujas medicinines ir informacines technologijas;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10.8</w:t>
      </w:r>
      <w:r>
        <w:rPr>
          <w:color w:val="000000"/>
        </w:rPr>
        <w:t>. nustatyti žmogaus mirties faktą Lietuvos Respubl</w:t>
      </w:r>
      <w:r>
        <w:rPr>
          <w:color w:val="000000"/>
        </w:rPr>
        <w:t>ikos teisės aktų nustatyta tvarka;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10.9</w:t>
      </w:r>
      <w:r>
        <w:rPr>
          <w:color w:val="000000"/>
        </w:rPr>
        <w:t>. nepradėti gaivinimo Lietuvos Respublikos teisės aktų nustatyta tvarka;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10.10</w:t>
      </w:r>
      <w:r>
        <w:rPr>
          <w:color w:val="000000"/>
        </w:rPr>
        <w:t>. gauti darbui būtiną informaciją apie gydomus ir konsultuojamus ligonius;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10.11</w:t>
      </w:r>
      <w:r>
        <w:rPr>
          <w:color w:val="000000"/>
        </w:rPr>
        <w:t xml:space="preserve">. dalyvauti pasitarimuose, seminaruose ir konferencijose, </w:t>
      </w:r>
      <w:r>
        <w:rPr>
          <w:color w:val="000000"/>
          <w:spacing w:val="-1"/>
        </w:rPr>
        <w:t xml:space="preserve">mokslinėse draugijose, </w:t>
      </w:r>
      <w:r>
        <w:rPr>
          <w:color w:val="000000"/>
        </w:rPr>
        <w:t>kur nagrinėjami su profesine kvalifikacija susiję klausimai;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10.12</w:t>
      </w:r>
      <w:r>
        <w:rPr>
          <w:color w:val="000000"/>
        </w:rPr>
        <w:t>. reikalauti darbdavio užtikrinti optimalias darbo sąlygas (patalpos, higieninės sąlygos, apsaugos priemo</w:t>
      </w:r>
      <w:r>
        <w:rPr>
          <w:color w:val="000000"/>
        </w:rPr>
        <w:t>nės, medicinos prietaisai, jų priežiūra bei jų atnaujinimas), nurodytas kiekvienos diagnostinės ar gydomosios procedūros metodikoje;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10.13</w:t>
      </w:r>
      <w:r>
        <w:rPr>
          <w:color w:val="000000"/>
        </w:rPr>
        <w:t>. verstis siaura medicinos praktika;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10.14</w:t>
      </w:r>
      <w:r>
        <w:rPr>
          <w:color w:val="000000"/>
        </w:rPr>
        <w:t>. vaikų intensyviosios terapijos gydytojas gali turėti ir kitų teisi</w:t>
      </w:r>
      <w:r>
        <w:rPr>
          <w:color w:val="000000"/>
        </w:rPr>
        <w:t>ų, nustatytų Lietuvos Respublikos teisės aktais.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PAREIGOS</w:t>
      </w:r>
    </w:p>
    <w:p w:rsidR="00D166D7" w:rsidRDefault="00D166D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Vaikų intensyviosios terapijos gydytojas privalo: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>. teikti būtinąją medicinos pagalbą;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11.2</w:t>
      </w:r>
      <w:r>
        <w:rPr>
          <w:color w:val="000000"/>
        </w:rPr>
        <w:t>. kvalifikuotai tirti, diagnozuoti kritines būkles, skirti gydymą ir užtikr</w:t>
      </w:r>
      <w:r>
        <w:rPr>
          <w:color w:val="000000"/>
        </w:rPr>
        <w:t>inti teikiamų asmens sveikatos priežiūros paslaugų kokybę pagal savo kompetenciją;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11.3</w:t>
      </w:r>
      <w:r>
        <w:rPr>
          <w:color w:val="000000"/>
        </w:rPr>
        <w:t>. taikyti Lietuvoje įteisintus tyrimo, diagnostikos ir gydymo metodus;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11.4</w:t>
      </w:r>
      <w:r>
        <w:rPr>
          <w:color w:val="000000"/>
        </w:rPr>
        <w:t>. naudoti medicinos prietaisų saugos techninių reglamentų reikalavimus atitinkančius m</w:t>
      </w:r>
      <w:r>
        <w:rPr>
          <w:color w:val="000000"/>
        </w:rPr>
        <w:t xml:space="preserve">edicinos prietaisus, kurie instaliuojami, naudojami ir prižiūrimi vadovaujantis </w:t>
      </w:r>
      <w:r>
        <w:rPr>
          <w:color w:val="000000"/>
        </w:rPr>
        <w:lastRenderedPageBreak/>
        <w:t>Lietuvos Respublikos teisės aktų nustatyta tvarka;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11.5</w:t>
      </w:r>
      <w:r>
        <w:rPr>
          <w:color w:val="000000"/>
        </w:rPr>
        <w:t>. propaguoti sveiką gyvenseną, ligų prevencijos ir sveikatos tausojimo bei ugdymo priemones;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11.6</w:t>
      </w:r>
      <w:r>
        <w:rPr>
          <w:color w:val="000000"/>
        </w:rPr>
        <w:t>. bendradarbiaut</w:t>
      </w:r>
      <w:r>
        <w:rPr>
          <w:color w:val="000000"/>
        </w:rPr>
        <w:t>i su kitais asmens bei visuomenės sveikatos priežiūros, slaugos ir socialinės rūpybos darbuotojais bei specialistais;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11.7</w:t>
      </w:r>
      <w:r>
        <w:rPr>
          <w:color w:val="000000"/>
        </w:rPr>
        <w:t xml:space="preserve">. nepriskirtais jo kompetencijai atvejais laiku siųsti pacientą konsultuotis ir gydytis pas atitinkamos srities specialistą ar jį </w:t>
      </w:r>
      <w:r>
        <w:rPr>
          <w:color w:val="000000"/>
        </w:rPr>
        <w:t>iškviesti;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11.8</w:t>
      </w:r>
      <w:r>
        <w:rPr>
          <w:color w:val="000000"/>
        </w:rPr>
        <w:t>. vykdyti privalomąsias sveikatos programas;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11.9</w:t>
      </w:r>
      <w:r>
        <w:rPr>
          <w:color w:val="000000"/>
        </w:rPr>
        <w:t>. Lietuvos Respublikos teisės aktų nustatyta tvarka teritoriniam visuomenės sveikatos centrui pranešti apie išaiškintą ūmią infekcinę ligą, apsinuodijimą toksinėmis medžiagomis, sanita</w:t>
      </w:r>
      <w:r>
        <w:rPr>
          <w:color w:val="000000"/>
        </w:rPr>
        <w:t>rijos epidemiologijos režimo pažeidimą, o Valstybinei vaistų kontrolės tarnybai – apie nepageidaujamas vaistų sukeliamas reakcijas;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11.10</w:t>
      </w:r>
      <w:r>
        <w:rPr>
          <w:color w:val="000000"/>
        </w:rPr>
        <w:t>. tinkamai tvarkyti medicinos dokumentus bei teikti statistikos ir kitą informaciją Lietuvos Respublikos teisės akt</w:t>
      </w:r>
      <w:r>
        <w:rPr>
          <w:color w:val="000000"/>
        </w:rPr>
        <w:t>ų nustatyta tvarka bei analizuoti savo darbo rezultatus;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11.11</w:t>
      </w:r>
      <w:r>
        <w:rPr>
          <w:color w:val="000000"/>
        </w:rPr>
        <w:t>. Sveikatos apsaugos ministerijos, teisėsaugos institucijų prašymu paaiškinti vaikų intensyviosios terapijos gydytojo praktikos aplinkybes;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11.12</w:t>
      </w:r>
      <w:r>
        <w:rPr>
          <w:color w:val="000000"/>
        </w:rPr>
        <w:t xml:space="preserve">. laikytis gydytojo profesinės etikos </w:t>
      </w:r>
      <w:r>
        <w:rPr>
          <w:color w:val="000000"/>
        </w:rPr>
        <w:t>principų, gerbti pacientų teises ir jų nepažeisti;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11.13</w:t>
      </w:r>
      <w:r>
        <w:rPr>
          <w:color w:val="000000"/>
        </w:rPr>
        <w:t>. nuolat tobulinti profesinę kvalifikaciją Lietuvos Respublikos teisės aktų nustatyta tvarka;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11.14</w:t>
      </w:r>
      <w:r>
        <w:rPr>
          <w:color w:val="000000"/>
        </w:rPr>
        <w:t>. laikytis Medicinos praktikos licencijavimo taisyklių;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11.15</w:t>
      </w:r>
      <w:r>
        <w:rPr>
          <w:color w:val="000000"/>
        </w:rPr>
        <w:t>. atlikti kitas Lietuvos Res</w:t>
      </w:r>
      <w:r>
        <w:rPr>
          <w:color w:val="000000"/>
        </w:rPr>
        <w:t>publikos teisės aktų vaikų intensyviosios terapijos gydytojams nustatytas pareigas.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KOMPETENCIJA</w:t>
      </w:r>
    </w:p>
    <w:p w:rsidR="00D166D7" w:rsidRDefault="00D166D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Vaikų intensyviosios terapijos gydytojo profesinę kompetenciją sudaro žinios, gebėjimai ir įgūdžiai, kuriuos jis įgyja vaikų intensyvios</w:t>
      </w:r>
      <w:r>
        <w:rPr>
          <w:color w:val="000000"/>
        </w:rPr>
        <w:t>ios terapijos gydytojo profesinę kvalifikaciją suteikiančių studijų metu bei, atsižvelgdamas į nuolatinę mokslo ir praktikos pažangą, nuolat tobulindamas profesinę kvalifikaciją.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Vaikų intensyviosios terapijos gydytojas turi žinoti: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>. sveikat</w:t>
      </w:r>
      <w:r>
        <w:rPr>
          <w:color w:val="000000"/>
        </w:rPr>
        <w:t>os priežiūros ir socialinės pagalbos organizavimo pagrindus;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</w:t>
      </w:r>
      <w:r>
        <w:rPr>
          <w:color w:val="000000"/>
        </w:rPr>
        <w:t>. dokumentų rengimo ir įforminimo taisykles;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13.3</w:t>
      </w:r>
      <w:r>
        <w:rPr>
          <w:color w:val="000000"/>
        </w:rPr>
        <w:t>. medicinos statistikos pagrindus;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13.4</w:t>
      </w:r>
      <w:r>
        <w:rPr>
          <w:color w:val="000000"/>
        </w:rPr>
        <w:t>. sveikatos draudimo principus ir rūšis;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13.5</w:t>
      </w:r>
      <w:r>
        <w:rPr>
          <w:color w:val="000000"/>
        </w:rPr>
        <w:t xml:space="preserve">. vaiko psichologijos ypatumus, psichikos </w:t>
      </w:r>
      <w:r>
        <w:rPr>
          <w:color w:val="000000"/>
        </w:rPr>
        <w:t>sutrikimus, sveiko ir sergančio vaiko bei jo artimųjų psichologiją;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13.6</w:t>
      </w:r>
      <w:r>
        <w:rPr>
          <w:color w:val="000000"/>
        </w:rPr>
        <w:t>. naudojimosi informacinėmis duomenų bazėmis būdus;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13.7</w:t>
      </w:r>
      <w:r>
        <w:rPr>
          <w:color w:val="000000"/>
        </w:rPr>
        <w:t>. medicinos etikos pagrindus;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13.8</w:t>
      </w:r>
      <w:r>
        <w:rPr>
          <w:color w:val="000000"/>
        </w:rPr>
        <w:t>. vaikų intensyviosios terapijos padalinio darbo organizavimą.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Vaikų int</w:t>
      </w:r>
      <w:r>
        <w:rPr>
          <w:color w:val="000000"/>
        </w:rPr>
        <w:t>ensyviosios terapijos gydytojas privalo išmanyti: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</w:t>
      </w:r>
      <w:r>
        <w:rPr>
          <w:color w:val="000000"/>
        </w:rPr>
        <w:t>. įvairaus amžiaus vaiko fiziologiją ir patologiją, farmakologiją bei nozologiją;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14.2</w:t>
      </w:r>
      <w:r>
        <w:rPr>
          <w:color w:val="000000"/>
        </w:rPr>
        <w:t>. skausmo fiziologiją, įvairaus amžiaus vaikų ūminio skausmo vertinimą, nuskausminimo būdus;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14.3</w:t>
      </w:r>
      <w:r>
        <w:rPr>
          <w:color w:val="000000"/>
        </w:rPr>
        <w:t xml:space="preserve">. </w:t>
      </w:r>
      <w:r>
        <w:rPr>
          <w:color w:val="000000"/>
        </w:rPr>
        <w:t>sedacijos lygius ir jų vertinimą, bendrąją nejautrą, jos stadijas ir komplikacijas, bendrosios, regioninės ir vietinės nejautros naudojimą įvairaus amžiaus vaikams, inhaliacinius ir intraveninius anestetikus, raumenų relaksantus ir jų panaudojimo galimybes</w:t>
      </w:r>
      <w:r>
        <w:rPr>
          <w:color w:val="000000"/>
        </w:rPr>
        <w:t xml:space="preserve"> įvairaus amžiaus vaikams;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14.4</w:t>
      </w:r>
      <w:r>
        <w:rPr>
          <w:color w:val="000000"/>
        </w:rPr>
        <w:t>. įvairaus amžiaus vaiko gyvybinių funkcijų rodiklius, jų stebėjimo principus sedacijos, nuskausminimo ir intensyviosios terapijos metu;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14.5</w:t>
      </w:r>
      <w:r>
        <w:rPr>
          <w:color w:val="000000"/>
        </w:rPr>
        <w:t xml:space="preserve">. įvairaus amžiaus vaikų pradinį ir specialųjį gaivinimą, jam atlikti </w:t>
      </w:r>
      <w:r>
        <w:rPr>
          <w:color w:val="000000"/>
        </w:rPr>
        <w:t>naudojamos medicininės įrangos veikimo ir panaudojimo principus, gaivinimo standartus;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14.6</w:t>
      </w:r>
      <w:r>
        <w:rPr>
          <w:color w:val="000000"/>
        </w:rPr>
        <w:t xml:space="preserve">. vaistų, vartojamų gaivinant ir intensyviai gydant įvairaus amžiaus vaikus, </w:t>
      </w:r>
      <w:r>
        <w:rPr>
          <w:color w:val="000000"/>
        </w:rPr>
        <w:lastRenderedPageBreak/>
        <w:t>klinikinę farmakologiją bei jų tarpusavio sąveiką;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14.7</w:t>
      </w:r>
      <w:r>
        <w:rPr>
          <w:color w:val="000000"/>
        </w:rPr>
        <w:t>. vaikų intensyviosios te</w:t>
      </w:r>
      <w:r>
        <w:rPr>
          <w:color w:val="000000"/>
        </w:rPr>
        <w:t>rapijos skyriuose naudojamos medicininės įrangos veikimo ir panaudojimo principus;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14.8</w:t>
      </w:r>
      <w:r>
        <w:rPr>
          <w:color w:val="000000"/>
        </w:rPr>
        <w:t>. infuzinės ir transfuzinės terapijos principus įvairaus amžiaus vaikams, jos metodus, indikacijas, kontraindikacijas, komplikacijas;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14.9</w:t>
      </w:r>
      <w:r>
        <w:rPr>
          <w:color w:val="000000"/>
        </w:rPr>
        <w:t>. enterinės ir parenter</w:t>
      </w:r>
      <w:r>
        <w:rPr>
          <w:color w:val="000000"/>
        </w:rPr>
        <w:t>inės mitybos principus, metodus, indikacijas, kontraindikacijas, komplikacijas, energijos ir maisto medžiagų poreikio apskaičiavimo principus bei metodus, taikomus įvairaus amžiaus vaikams;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14.10</w:t>
      </w:r>
      <w:r>
        <w:rPr>
          <w:color w:val="000000"/>
        </w:rPr>
        <w:t>. vaikų homeostazės ypatumus, vandens, elektrolitų, šarmų</w:t>
      </w:r>
      <w:r>
        <w:rPr>
          <w:color w:val="000000"/>
        </w:rPr>
        <w:t xml:space="preserve"> ir rūgščių pusiausvyros palaikymo principus;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14.11</w:t>
      </w:r>
      <w:r>
        <w:rPr>
          <w:color w:val="000000"/>
        </w:rPr>
        <w:t>. antibakterinės terapijos principus, vaikų amžiaus ypatumus;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14.12</w:t>
      </w:r>
      <w:r>
        <w:rPr>
          <w:color w:val="000000"/>
        </w:rPr>
        <w:t>. hospitalinę infekciją, jos kontrolės ir prevencijos principus;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14.13</w:t>
      </w:r>
      <w:r>
        <w:rPr>
          <w:color w:val="000000"/>
        </w:rPr>
        <w:t>. sunkios būklės vaiko transportavimo principus ir amžia</w:t>
      </w:r>
      <w:r>
        <w:rPr>
          <w:color w:val="000000"/>
        </w:rPr>
        <w:t>us ypatumus;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14.14</w:t>
      </w:r>
      <w:r>
        <w:rPr>
          <w:color w:val="000000"/>
        </w:rPr>
        <w:t>. vaiko dauginę organų disfunkciją, jos vertinimo kriterijus;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14.15</w:t>
      </w:r>
      <w:r>
        <w:rPr>
          <w:color w:val="000000"/>
        </w:rPr>
        <w:t>. vaiko smegenų mirties kriterijus ir jos nustatymo tvarką;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14.16</w:t>
      </w:r>
      <w:r>
        <w:rPr>
          <w:color w:val="000000"/>
        </w:rPr>
        <w:t>. žmogaus audinių, ląstelių ir organų donorystės ir audinių ir (ar) organų persodinimo iš miru</w:t>
      </w:r>
      <w:r>
        <w:rPr>
          <w:color w:val="000000"/>
        </w:rPr>
        <w:t>sio žmogaus ir gyvo donoro tvarką;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14.17</w:t>
      </w:r>
      <w:r>
        <w:rPr>
          <w:color w:val="000000"/>
        </w:rPr>
        <w:t>. transplantacijos principus – organų išsaugojimą, paėmimą, transportavimą, pagalbą donorui, imunosupresiją, atmetimą, vaikų, kuriems transplantuoti organai, patofiziologiją.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Vaikų intensyviosios terapi</w:t>
      </w:r>
      <w:r>
        <w:rPr>
          <w:color w:val="000000"/>
        </w:rPr>
        <w:t>jos gydytojas pagal savo kompetenciją turi mokėti diagnozuoti ir gydyti būkles, sukeliančias organų funkcijos sutrikimus įvairaus amžiaus vaikams, bei įtarti ir diagnozuoti šias būkles sukėlusias ligas. Šios būklės yra: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</w:t>
      </w:r>
      <w:r>
        <w:rPr>
          <w:color w:val="000000"/>
        </w:rPr>
        <w:t>. įvairios kilmės ir sunkumo ū</w:t>
      </w:r>
      <w:r>
        <w:rPr>
          <w:color w:val="000000"/>
        </w:rPr>
        <w:t>minis kvėpavimo nepakankamumas;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15.2</w:t>
      </w:r>
      <w:r>
        <w:rPr>
          <w:color w:val="000000"/>
        </w:rPr>
        <w:t>. įvairios kilmės hemodinamikos nestabilumas ir šokas;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15.3</w:t>
      </w:r>
      <w:r>
        <w:rPr>
          <w:color w:val="000000"/>
        </w:rPr>
        <w:t>. įvairios kilmės sąmonės sutrikimas, koma ir intrakranijinio slėgio pokyčiai;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15.4</w:t>
      </w:r>
      <w:r>
        <w:rPr>
          <w:color w:val="000000"/>
        </w:rPr>
        <w:t>. ūminiai homeostazės ir metabolizmo sutrikimai;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15.5</w:t>
      </w:r>
      <w:r>
        <w:rPr>
          <w:color w:val="000000"/>
        </w:rPr>
        <w:t xml:space="preserve">. ūminės </w:t>
      </w:r>
      <w:r>
        <w:rPr>
          <w:color w:val="000000"/>
        </w:rPr>
        <w:t>neurologinės ir psichiatrinės būklės;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15.6</w:t>
      </w:r>
      <w:r>
        <w:rPr>
          <w:color w:val="000000"/>
        </w:rPr>
        <w:t>. infekcinis procesas ir sunkus sepsis;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15.7</w:t>
      </w:r>
      <w:r>
        <w:rPr>
          <w:color w:val="000000"/>
        </w:rPr>
        <w:t>. ūmūs hematologiniai ir koagulopatiniai sutrikimai;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15.8</w:t>
      </w:r>
      <w:r>
        <w:rPr>
          <w:color w:val="000000"/>
        </w:rPr>
        <w:t>. ūmūs endokrininiai sutrikimai;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15.9</w:t>
      </w:r>
      <w:r>
        <w:rPr>
          <w:color w:val="000000"/>
        </w:rPr>
        <w:t>. ūminiai apsinuodijimai (taip pat narkomanija ir nutraukimo</w:t>
      </w:r>
      <w:r>
        <w:rPr>
          <w:color w:val="000000"/>
        </w:rPr>
        <w:t xml:space="preserve"> sindromas) ir kiti nelaimingi atsitikimai (anafilaksija, gyvių įkandimai, blogo elgesio su vaiku sindromas);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15.10</w:t>
      </w:r>
      <w:r>
        <w:rPr>
          <w:color w:val="000000"/>
        </w:rPr>
        <w:t>. ūminis galvos smegenų pažeidimas;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15.11</w:t>
      </w:r>
      <w:r>
        <w:rPr>
          <w:color w:val="000000"/>
        </w:rPr>
        <w:t>. ūminis inkstų funkcijos nepakankamumas;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15.12</w:t>
      </w:r>
      <w:r>
        <w:rPr>
          <w:color w:val="000000"/>
        </w:rPr>
        <w:t>. ūminis kepenų funkcijos nepakankamumas;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15.13</w:t>
      </w:r>
      <w:r>
        <w:rPr>
          <w:color w:val="000000"/>
        </w:rPr>
        <w:t>. ūminis virškinamojo trakto ir pilvo pažeidimas;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15.14</w:t>
      </w:r>
      <w:r>
        <w:rPr>
          <w:color w:val="000000"/>
        </w:rPr>
        <w:t>. ūminis širdies veiklos nepakankamumas;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15.15</w:t>
      </w:r>
      <w:r>
        <w:rPr>
          <w:color w:val="000000"/>
        </w:rPr>
        <w:t>. ūminis širdies ritmo sutrikimas;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15.16</w:t>
      </w:r>
      <w:r>
        <w:rPr>
          <w:color w:val="000000"/>
        </w:rPr>
        <w:t>. dauginė trauma;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15.17</w:t>
      </w:r>
      <w:r>
        <w:rPr>
          <w:color w:val="000000"/>
        </w:rPr>
        <w:t>. sunkus nudegimas;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15.18</w:t>
      </w:r>
      <w:r>
        <w:rPr>
          <w:color w:val="000000"/>
        </w:rPr>
        <w:t xml:space="preserve">. pooperacinis periodas po įvairių </w:t>
      </w:r>
      <w:r>
        <w:rPr>
          <w:color w:val="000000"/>
        </w:rPr>
        <w:t>didelės apimties operacijų.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Vaikų intensyviosios terapijos gydytojas turi gebėti atlikti šioje normoje nurodytas procedūras įvairaus amžiaus vaikams iki 18 metų: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</w:t>
      </w:r>
      <w:r>
        <w:rPr>
          <w:color w:val="000000"/>
        </w:rPr>
        <w:t>. pradinį ir specialųjį gaivinimą;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</w:t>
      </w:r>
      <w:r>
        <w:rPr>
          <w:color w:val="000000"/>
        </w:rPr>
        <w:t xml:space="preserve">. manipuliacijas, užtikrinančias </w:t>
      </w:r>
      <w:r>
        <w:rPr>
          <w:color w:val="000000"/>
        </w:rPr>
        <w:t>kvėpavimo takų praeinamumą bei kvėpavimą (spontaninį arba dirbtinį):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16.2.1</w:t>
      </w:r>
      <w:r>
        <w:rPr>
          <w:color w:val="000000"/>
        </w:rPr>
        <w:t>. uždėti veido kaukę;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16.2.2</w:t>
      </w:r>
      <w:r>
        <w:rPr>
          <w:color w:val="000000"/>
        </w:rPr>
        <w:t>. įkišti orofaringinį vamzdelį;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16.2.3</w:t>
      </w:r>
      <w:r>
        <w:rPr>
          <w:color w:val="000000"/>
        </w:rPr>
        <w:t>. įkišti nazofaringinį vamzdelį;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16.2.4</w:t>
      </w:r>
      <w:r>
        <w:rPr>
          <w:color w:val="000000"/>
        </w:rPr>
        <w:t>. įkišti kombinuotą vamzdelį;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16.2.5</w:t>
      </w:r>
      <w:r>
        <w:rPr>
          <w:color w:val="000000"/>
        </w:rPr>
        <w:t>. įkišti laringinę kau</w:t>
      </w:r>
      <w:r>
        <w:rPr>
          <w:color w:val="000000"/>
        </w:rPr>
        <w:t>kę;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16.2.6</w:t>
      </w:r>
      <w:r>
        <w:rPr>
          <w:color w:val="000000"/>
        </w:rPr>
        <w:t>. endotrachėjinę (per burną ir per nosį) ir endobronchinę intubaciją;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16.2.7</w:t>
      </w:r>
      <w:r>
        <w:rPr>
          <w:color w:val="000000"/>
        </w:rPr>
        <w:t>. krikotiroidotomiją ir pertrachėjinę deguonies srovės plaučių ventiliaciją;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16.2.8</w:t>
      </w:r>
      <w:r>
        <w:rPr>
          <w:color w:val="000000"/>
        </w:rPr>
        <w:t>. retrogradinę trachėjos intubaciją;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16.2.9</w:t>
      </w:r>
      <w:r>
        <w:rPr>
          <w:color w:val="000000"/>
        </w:rPr>
        <w:t>. fibrooptinę trachėjos ir b</w:t>
      </w:r>
      <w:r>
        <w:rPr>
          <w:color w:val="000000"/>
        </w:rPr>
        <w:t>ronchų intubaciją;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16.3</w:t>
      </w:r>
      <w:r>
        <w:rPr>
          <w:color w:val="000000"/>
        </w:rPr>
        <w:t>. dirbtinę plaučių ventiliaciją rankiniais ir automatiniais aparatais;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16.4</w:t>
      </w:r>
      <w:r>
        <w:rPr>
          <w:color w:val="000000"/>
        </w:rPr>
        <w:t>. elektrinę širdies defibriliaciją, kardioversiją ir širdies stimuliaciją elektra;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16.5</w:t>
      </w:r>
      <w:r>
        <w:rPr>
          <w:color w:val="000000"/>
        </w:rPr>
        <w:t>. elektrokardiografiją;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16.6</w:t>
      </w:r>
      <w:r>
        <w:rPr>
          <w:color w:val="000000"/>
        </w:rPr>
        <w:t>. periferinės ir centrinė</w:t>
      </w:r>
      <w:r>
        <w:rPr>
          <w:color w:val="000000"/>
        </w:rPr>
        <w:t>s venos punkciją ir kateterizaciją;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16.7</w:t>
      </w:r>
      <w:r>
        <w:rPr>
          <w:color w:val="000000"/>
        </w:rPr>
        <w:t>. arterijos punkciją ir kateterizaciją;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16.8</w:t>
      </w:r>
      <w:r>
        <w:rPr>
          <w:color w:val="000000"/>
        </w:rPr>
        <w:t>. kaulų čiulpų punkciją greitai skysčių infuzijai;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16.9</w:t>
      </w:r>
      <w:r>
        <w:rPr>
          <w:color w:val="000000"/>
        </w:rPr>
        <w:t>. injekcijas į veną, arteriją, raumenis, poodį, kaulų čiulpus, epidurinę ertmę, subarachnoidinę ertmę;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16.10</w:t>
      </w:r>
      <w:r>
        <w:rPr>
          <w:color w:val="000000"/>
        </w:rPr>
        <w:t>. įvairaus lygio nuskausminimą ir sedaciją (inhaliacinę, parenterinę ar enterinę) pacientams, kuriems reikalinga intensyvioji terapija, gydymo, stebėjimo ar procedūrų atlikimo metu;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16.11</w:t>
      </w:r>
      <w:r>
        <w:rPr>
          <w:color w:val="000000"/>
        </w:rPr>
        <w:t>. krūtinės ląstos punkciją ir drenavimą;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16.12</w:t>
      </w:r>
      <w:r>
        <w:rPr>
          <w:color w:val="000000"/>
        </w:rPr>
        <w:t xml:space="preserve">. </w:t>
      </w:r>
      <w:r>
        <w:rPr>
          <w:color w:val="000000"/>
        </w:rPr>
        <w:t>invazinius ir neinvazinius hemodinamikos stebėsenos metodus;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16.13</w:t>
      </w:r>
      <w:r>
        <w:rPr>
          <w:color w:val="000000"/>
        </w:rPr>
        <w:t>. intraabdominalinio spaudimo matavimą;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16.14</w:t>
      </w:r>
      <w:r>
        <w:rPr>
          <w:color w:val="000000"/>
        </w:rPr>
        <w:t>. šlapimo pūslės kateterizavimą;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16.15</w:t>
      </w:r>
      <w:r>
        <w:rPr>
          <w:color w:val="000000"/>
        </w:rPr>
        <w:t>. skrandžio zondavimą ir plovimą;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16.16</w:t>
      </w:r>
      <w:r>
        <w:rPr>
          <w:color w:val="000000"/>
        </w:rPr>
        <w:t>. centrinės nervų sistemos būklės</w:t>
      </w:r>
      <w:r>
        <w:rPr>
          <w:caps/>
          <w:color w:val="000000"/>
        </w:rPr>
        <w:t xml:space="preserve"> </w:t>
      </w:r>
      <w:r>
        <w:rPr>
          <w:color w:val="000000"/>
        </w:rPr>
        <w:t>stebėseną;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16.17</w:t>
      </w:r>
      <w:r>
        <w:rPr>
          <w:color w:val="000000"/>
        </w:rPr>
        <w:t>. juosmeninę punkciją;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16.18</w:t>
      </w:r>
      <w:r>
        <w:rPr>
          <w:color w:val="000000"/>
        </w:rPr>
        <w:t>. pulsoksimetriją;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16.19</w:t>
      </w:r>
      <w:r>
        <w:rPr>
          <w:color w:val="000000"/>
        </w:rPr>
        <w:t>. temperatūros matavimą;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16.20</w:t>
      </w:r>
      <w:r>
        <w:rPr>
          <w:color w:val="000000"/>
        </w:rPr>
        <w:t>. nuskausminimo ir sedacijos lygio stebėsenos metodus;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16.21</w:t>
      </w:r>
      <w:r>
        <w:rPr>
          <w:color w:val="000000"/>
        </w:rPr>
        <w:t>. neuroraumeninės jungties stebėsenos metodus;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16.22</w:t>
      </w:r>
      <w:r>
        <w:rPr>
          <w:color w:val="000000"/>
        </w:rPr>
        <w:t>. kvėpavimo sistemos ir dujų apykaitos s</w:t>
      </w:r>
      <w:r>
        <w:rPr>
          <w:color w:val="000000"/>
        </w:rPr>
        <w:t>tebėsenos metodus.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Atlikdamas invazines procedūras, išvardytas šios medicinos normos 16 punkte, vaikų intensyviosios terapijos gydytojas gali naudoti vaizdinimo metodus: echoskopiją, rentgenoskopiją ir (ar) rentgenografiją (baigęs radiacinės saug</w:t>
      </w:r>
      <w:r>
        <w:rPr>
          <w:color w:val="000000"/>
        </w:rPr>
        <w:t>os kursą).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Vaikų intensyviosios terapijos gydytojas, baigęs atitinkamus profesinės kvalifikacijos tobulinimosi kursus (stažuotę), vaikams gali atlikti šias procedūras ir taikyti gydymo metodus: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</w:t>
      </w:r>
      <w:r>
        <w:rPr>
          <w:color w:val="000000"/>
        </w:rPr>
        <w:t>. bronchoskopiją: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18.1.1</w:t>
      </w:r>
      <w:r>
        <w:rPr>
          <w:color w:val="000000"/>
        </w:rPr>
        <w:t>. kvėpavimo takų praei</w:t>
      </w:r>
      <w:r>
        <w:rPr>
          <w:color w:val="000000"/>
        </w:rPr>
        <w:t>namumui užtikrinti ir palaikyti;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18.1.2</w:t>
      </w:r>
      <w:r>
        <w:rPr>
          <w:color w:val="000000"/>
        </w:rPr>
        <w:t>. kvėpavimo takams išvalyti;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18.1.3</w:t>
      </w:r>
      <w:r>
        <w:rPr>
          <w:color w:val="000000"/>
        </w:rPr>
        <w:t>. medžiagai iš kvėpavimo takų paimti;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</w:t>
      </w:r>
      <w:r>
        <w:rPr>
          <w:color w:val="000000"/>
        </w:rPr>
        <w:t>. pakaitinės inkstų terapijos metodus;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</w:t>
      </w:r>
      <w:r>
        <w:rPr>
          <w:color w:val="000000"/>
        </w:rPr>
        <w:t>. pakaitinės kepenų terapijos metodus;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18.4</w:t>
      </w:r>
      <w:r>
        <w:rPr>
          <w:color w:val="000000"/>
        </w:rPr>
        <w:t xml:space="preserve">. ekstrakorporinę kraujo </w:t>
      </w:r>
      <w:r>
        <w:rPr>
          <w:color w:val="000000"/>
        </w:rPr>
        <w:t>apytaką;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18.5</w:t>
      </w:r>
      <w:r>
        <w:rPr>
          <w:color w:val="000000"/>
        </w:rPr>
        <w:t>. vidaus organų ultragarsinį tyrimą su kraujotakos dvigubu skenavimu;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18.6</w:t>
      </w:r>
      <w:r>
        <w:rPr>
          <w:color w:val="000000"/>
        </w:rPr>
        <w:t>. širdies ultragarsinį tyrimą su kraujotakos dvigubu skenavimu;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18.7</w:t>
      </w:r>
      <w:r>
        <w:rPr>
          <w:color w:val="000000"/>
        </w:rPr>
        <w:t>. galvos smegenų ultragarsinį tyrimą su kraujotakos dvigubu skenavimu;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18.8</w:t>
      </w:r>
      <w:r>
        <w:rPr>
          <w:color w:val="000000"/>
        </w:rPr>
        <w:t>. kraujagy</w:t>
      </w:r>
      <w:r>
        <w:rPr>
          <w:color w:val="000000"/>
        </w:rPr>
        <w:t>slių dvigubą skenavimą.</w:t>
      </w: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atsakomybė</w:t>
      </w:r>
    </w:p>
    <w:p w:rsidR="00D166D7" w:rsidRDefault="00D166D7">
      <w:pPr>
        <w:widowControl w:val="0"/>
        <w:suppressAutoHyphens/>
        <w:ind w:firstLine="567"/>
        <w:jc w:val="both"/>
        <w:rPr>
          <w:color w:val="000000"/>
        </w:rPr>
      </w:pPr>
    </w:p>
    <w:p w:rsidR="00D166D7" w:rsidRDefault="00E34DB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Vaikų intensyviosios terapijos gydytojas už padarytas klaidas, aplaidumą, netinkamą jam priskirtų funkcijų atlikimą ar bioetikos reikalavimų pažeidimą, taip pat už pareigų viršijimą atsako Lietuvos</w:t>
      </w:r>
      <w:r>
        <w:rPr>
          <w:color w:val="000000"/>
        </w:rPr>
        <w:t xml:space="preserve"> Respublikos teisės aktų nustatyta tvarka.</w:t>
      </w:r>
    </w:p>
    <w:p w:rsidR="00D166D7" w:rsidRDefault="00E34DB7">
      <w:pPr>
        <w:widowControl w:val="0"/>
        <w:suppressAutoHyphens/>
        <w:jc w:val="both"/>
        <w:rPr>
          <w:color w:val="000000"/>
        </w:rPr>
      </w:pPr>
    </w:p>
    <w:p w:rsidR="00D166D7" w:rsidRDefault="00E34DB7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p w:rsidR="00D166D7" w:rsidRDefault="00E34DB7">
      <w:pPr>
        <w:rPr>
          <w:sz w:val="2"/>
          <w:szCs w:val="2"/>
        </w:rPr>
      </w:pPr>
    </w:p>
    <w:sectPr w:rsidR="00D166D7" w:rsidSect="00E34DB7">
      <w:pgSz w:w="11907" w:h="16840" w:code="9"/>
      <w:pgMar w:top="1134" w:right="1134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D7" w:rsidRDefault="00E34DB7">
      <w:r>
        <w:separator/>
      </w:r>
    </w:p>
  </w:endnote>
  <w:endnote w:type="continuationSeparator" w:id="0">
    <w:p w:rsidR="00D166D7" w:rsidRDefault="00E3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D7" w:rsidRDefault="00D166D7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D7" w:rsidRDefault="00D166D7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D7" w:rsidRDefault="00D166D7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D7" w:rsidRDefault="00E34DB7">
      <w:r>
        <w:separator/>
      </w:r>
    </w:p>
  </w:footnote>
  <w:footnote w:type="continuationSeparator" w:id="0">
    <w:p w:rsidR="00D166D7" w:rsidRDefault="00E3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D7" w:rsidRDefault="00D166D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2258"/>
      <w:docPartObj>
        <w:docPartGallery w:val="Page Numbers (Top of Page)"/>
        <w:docPartUnique/>
      </w:docPartObj>
    </w:sdtPr>
    <w:sdtContent>
      <w:p w:rsidR="00E34DB7" w:rsidRDefault="00E34D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66D7" w:rsidRDefault="00D166D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D7" w:rsidRDefault="00D166D7">
    <w:pPr>
      <w:tabs>
        <w:tab w:val="center" w:pos="4153"/>
        <w:tab w:val="right" w:pos="8306"/>
      </w:tabs>
      <w:rPr>
        <w:lang w:val="en-GB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C"/>
    <w:rsid w:val="00D166D7"/>
    <w:rsid w:val="00E34DB7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4DB7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E34DB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34DB7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4DB7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E34DB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34DB7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2B2957B9182"/>
  <Relationship Id="rId11" Type="http://schemas.openxmlformats.org/officeDocument/2006/relationships/hyperlink" TargetMode="External" Target="https://www.e-tar.lt/portal/lt/legalAct/TAR.E964CE7A637A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hyperlink" TargetMode="External" Target="https://www.e-tar.lt/portal/lt/legalAct/TAR.E2B2957B9182"/>
  <Relationship Id="rId19" Type="http://schemas.openxmlformats.org/officeDocument/2006/relationships/hyperlink" TargetMode="External" Target="https://www.e-tar.lt/portal/lt/legalAct/TAR.E964CE7A637A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C81BD50A27C6"/>
  <Relationship Id="rId21" Type="http://schemas.openxmlformats.org/officeDocument/2006/relationships/hyperlink" TargetMode="External" Target="https://www.e-tar.lt/portal/lt/legalAct/TAR.2E6CC51EA4ED"/>
  <Relationship Id="rId22" Type="http://schemas.openxmlformats.org/officeDocument/2006/relationships/hyperlink" TargetMode="External" Target="https://www.e-tar.lt/portal/lt/legalAct/TAR.94F6B680E8B8"/>
  <Relationship Id="rId23" Type="http://schemas.openxmlformats.org/officeDocument/2006/relationships/hyperlink" TargetMode="External" Target="https://www.e-tar.lt/portal/lt/legalAct/TAR.8AC83320B76A"/>
  <Relationship Id="rId24" Type="http://schemas.openxmlformats.org/officeDocument/2006/relationships/hyperlink" TargetMode="External" Target="https://www.e-tar.lt/portal/lt/legalAct/TAR.10E8E285740C"/>
  <Relationship Id="rId25" Type="http://schemas.openxmlformats.org/officeDocument/2006/relationships/hyperlink" TargetMode="External" Target="https://www.e-tar.lt/portal/lt/legalAct/TAR.4095D47B10F2"/>
  <Relationship Id="rId26" Type="http://schemas.openxmlformats.org/officeDocument/2006/relationships/hyperlink" TargetMode="External" Target="https://www.e-tar.lt/portal/lt/legalAct/TAR.C6E4170DB704"/>
  <Relationship Id="rId27" Type="http://schemas.openxmlformats.org/officeDocument/2006/relationships/hyperlink" TargetMode="External" Target="https://www.e-tar.lt/portal/lt/legalAct/TAR.890D3838A27D"/>
  <Relationship Id="rId28" Type="http://schemas.openxmlformats.org/officeDocument/2006/relationships/hyperlink" TargetMode="External" Target="https://www.e-tar.lt/portal/lt/legalAct/TAR.D00D08A48D5D"/>
  <Relationship Id="rId29" Type="http://schemas.openxmlformats.org/officeDocument/2006/relationships/hyperlink" TargetMode="External" Target="https://www.e-tar.lt/portal/lt/legalAct/TAR.F1D2EF137C18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8E0A809B8457"/>
  <Relationship Id="rId31" Type="http://schemas.openxmlformats.org/officeDocument/2006/relationships/hyperlink" TargetMode="External" Target="https://www.e-tar.lt/portal/lt/legalAct/TAR.79A62F297B12"/>
  <Relationship Id="rId32" Type="http://schemas.openxmlformats.org/officeDocument/2006/relationships/hyperlink" TargetMode="External" Target="https://www.e-tar.lt/portal/lt/legalAct/TAR.10E92DD93D40"/>
  <Relationship Id="rId33" Type="http://schemas.openxmlformats.org/officeDocument/2006/relationships/hyperlink" TargetMode="External" Target="https://www.e-tar.lt/portal/lt/legalAct/TAR.5E0A0662E5CB"/>
  <Relationship Id="rId34" Type="http://schemas.openxmlformats.org/officeDocument/2006/relationships/hyperlink" TargetMode="External" Target="https://www.e-tar.lt/portal/lt/legalAct/TAR.AA759A4BACE5"/>
  <Relationship Id="rId35" Type="http://schemas.openxmlformats.org/officeDocument/2006/relationships/hyperlink" TargetMode="External" Target="https://www.e-tar.lt/portal/lt/legalAct/TAR.B8E6F91F019F"/>
  <Relationship Id="rId36" Type="http://schemas.openxmlformats.org/officeDocument/2006/relationships/hyperlink" TargetMode="External" Target="https://www.e-tar.lt/portal/lt/legalAct/TAR.6BF158B40A36"/>
  <Relationship Id="rId37" Type="http://schemas.openxmlformats.org/officeDocument/2006/relationships/hyperlink" TargetMode="External" Target="https://www.e-tar.lt/portal/lt/legalAct/TAR.60567EF971B9"/>
  <Relationship Id="rId38" Type="http://schemas.openxmlformats.org/officeDocument/2006/relationships/hyperlink" TargetMode="External" Target="https://www.e-tar.lt/portal/lt/legalAct/TAR.FCC9EA4B4DE0"/>
  <Relationship Id="rId39" Type="http://schemas.openxmlformats.org/officeDocument/2006/relationships/hyperlink" TargetMode="External" Target="https://www.e-tar.lt/portal/lt/legalAct/TAR.B447DD101502"/>
  <Relationship Id="rId4" Type="http://schemas.openxmlformats.org/officeDocument/2006/relationships/settings" Target="settings.xml"/>
  <Relationship Id="rId40" Type="http://schemas.openxmlformats.org/officeDocument/2006/relationships/hyperlink" TargetMode="External" Target="https://www.e-tar.lt/portal/lt/legalAct/TAR.6AC87E98DA1E"/>
  <Relationship Id="rId41" Type="http://schemas.openxmlformats.org/officeDocument/2006/relationships/hyperlink" TargetMode="External" Target="https://www.e-tar.lt/portal/lt/legalAct/TAR.81A9AC71E954"/>
  <Relationship Id="rId42" Type="http://schemas.openxmlformats.org/officeDocument/2006/relationships/hyperlink" TargetMode="External" Target="https://www.e-tar.lt/portal/lt/legalAct/TAR.693452255CB2"/>
  <Relationship Id="rId43" Type="http://schemas.openxmlformats.org/officeDocument/2006/relationships/fontTable" Target="fontTable.xml"/>
  <Relationship Id="rId44" Type="http://schemas.openxmlformats.org/officeDocument/2006/relationships/glossaryDocument" Target="glossary/document.xml"/>
  <Relationship Id="rId45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8A"/>
    <w:rsid w:val="003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F59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F59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13795</Words>
  <Characters>7864</Characters>
  <Application>Microsoft Office Word</Application>
  <DocSecurity>0</DocSecurity>
  <Lines>65</Lines>
  <Paragraphs>43</Paragraphs>
  <ScaleCrop>false</ScaleCrop>
  <Company>Teisines informacijos centras</Company>
  <LinksUpToDate>false</LinksUpToDate>
  <CharactersWithSpaces>21616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2015-09-21T03:38:00Z</dcterms:created>
  <dc:creator>Sandra</dc:creator>
  <lastModifiedBy>TAMALIŪNIENĖ Vilija</lastModifiedBy>
  <dcterms:modified xsi:type="dcterms:W3CDTF">2021-01-26T13:49:00Z</dcterms:modified>
  <revision>3</revision>
  <dc:title>LIETUVOS RESPUBLIKOS SVEIKATOS APSAUGOS MINISTRO</dc:title>
</coreProperties>
</file>