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6E34E7C" w14:textId="77777777">
      <w:pPr>
        <w:jc w:val="center"/>
        <w:rPr>
          <w:b/>
          <w:color w:val="000000"/>
        </w:rPr>
      </w:pPr>
      <w:r>
        <w:rPr>
          <w:b/>
          <w:color w:val="000000"/>
          <w:lang w:eastAsia="lt-LT"/>
        </w:rPr>
        <w:pict w14:anchorId="16E34E9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color w:val="000000"/>
        </w:rPr>
        <w:t>LIETUVOS RESPUBLIKOS VYRIAUSYBĖ</w:t>
      </w:r>
    </w:p>
    <w:p w14:paraId="16E34E7D" w14:textId="77777777">
      <w:pPr>
        <w:jc w:val="center"/>
        <w:rPr>
          <w:color w:val="000000"/>
        </w:rPr>
      </w:pPr>
    </w:p>
    <w:p w14:paraId="16E34E7E" w14:textId="77777777">
      <w:pPr>
        <w:jc w:val="center"/>
        <w:rPr>
          <w:b/>
          <w:color w:val="000000"/>
        </w:rPr>
      </w:pPr>
      <w:r>
        <w:rPr>
          <w:b/>
          <w:color w:val="000000"/>
        </w:rPr>
        <w:t>N U T A R I M A S</w:t>
      </w:r>
    </w:p>
    <w:p w14:paraId="16E34E7F" w14:textId="77777777">
      <w:pPr>
        <w:jc w:val="center"/>
        <w:rPr>
          <w:b/>
          <w:color w:val="000000"/>
        </w:rPr>
      </w:pPr>
      <w:r>
        <w:rPr>
          <w:b/>
          <w:color w:val="000000"/>
        </w:rPr>
        <w:t>DĖL TARPTAUTINIO VALIUTOS FONDO DUOMENŲ PLATINIMO SPECIALIŲJŲ STANDARTŲ TAIKYMO LIETUVOJE</w:t>
      </w:r>
    </w:p>
    <w:p w14:paraId="16E34E80" w14:textId="77777777">
      <w:pPr>
        <w:jc w:val="center"/>
        <w:rPr>
          <w:color w:val="000000"/>
        </w:rPr>
      </w:pPr>
    </w:p>
    <w:p w14:paraId="16E34E81" w14:textId="77777777">
      <w:pPr>
        <w:jc w:val="center"/>
        <w:rPr>
          <w:color w:val="000000"/>
        </w:rPr>
      </w:pPr>
      <w:r>
        <w:rPr>
          <w:color w:val="000000"/>
        </w:rPr>
        <w:t>1997 m. birželio 2 d. Nr. 537</w:t>
      </w:r>
    </w:p>
    <w:p w14:paraId="16E34E82" w14:textId="77777777">
      <w:pPr>
        <w:jc w:val="center"/>
        <w:rPr>
          <w:color w:val="000000"/>
        </w:rPr>
      </w:pPr>
      <w:r>
        <w:rPr>
          <w:color w:val="000000"/>
        </w:rPr>
        <w:t>Vilnius</w:t>
      </w:r>
    </w:p>
    <w:p w14:paraId="16E34E83" w14:textId="77777777">
      <w:pPr>
        <w:jc w:val="center"/>
        <w:rPr>
          <w:color w:val="000000"/>
        </w:rPr>
      </w:pPr>
    </w:p>
    <w:p w14:paraId="16E34E84" w14:textId="77777777">
      <w:pPr>
        <w:ind w:firstLine="708"/>
        <w:jc w:val="both"/>
        <w:rPr>
          <w:color w:val="000000"/>
        </w:rPr>
      </w:pPr>
      <w:r>
        <w:rPr>
          <w:color w:val="000000"/>
        </w:rPr>
        <w:t xml:space="preserve">Atsižvelgdama į tai, kad Lietuvos ekonomikos raidą gerokai lemia užsienio investitoriai bei šalies atvirumas tarptautinėms finansų rinkoms, ir siekdama užtikrinti sėkmingą Tarptautinio valiutos fondo patvirtintų duomenų platinimo specialiųjų standartų taikymą šalyje, Lietuvos Respublikos Vyriausybė </w:t>
      </w:r>
      <w:r>
        <w:rPr>
          <w:color w:val="000000"/>
          <w:spacing w:val="60"/>
        </w:rPr>
        <w:t>nutari</w:t>
      </w:r>
      <w:r>
        <w:rPr>
          <w:color w:val="000000"/>
        </w:rPr>
        <w:t>a:</w:t>
      </w:r>
    </w:p>
    <w:p w14:paraId="16E34E85" w14:textId="77777777">
      <w:pPr>
        <w:ind w:firstLine="708"/>
        <w:jc w:val="both"/>
        <w:rPr>
          <w:color w:val="000000"/>
        </w:rPr>
      </w:pPr>
      <w:r>
        <w:rPr>
          <w:color w:val="000000"/>
        </w:rPr>
        <w:t>1</w:t>
      </w:r>
      <w:r>
        <w:rPr>
          <w:color w:val="000000"/>
        </w:rPr>
        <w:t>. Pripažinti, kad Lietuvos bankas yra Tarptautinio valiutos fondo patvirtintų duomenų platinimo specialiųjų standartų taikymo Lietuvos Respublikoje koordinatorius (toliau vadinama - koordinatorius).</w:t>
      </w:r>
    </w:p>
    <w:p w14:paraId="16E34E86" w14:textId="77777777">
      <w:pPr>
        <w:ind w:firstLine="708"/>
        <w:jc w:val="both"/>
        <w:rPr>
          <w:color w:val="000000"/>
        </w:rPr>
      </w:pPr>
      <w:r>
        <w:rPr>
          <w:color w:val="000000"/>
        </w:rPr>
        <w:t>Be to, Lietuvos bankas yra atsakingas už šių standartų taikymą bankininkystės sektoriaus analitinių sąskaitų (pinigų apžvalgos), Lietuvos banko balanso, palūkanų normų, mokėjimų balanso ir tarptautinių investicijų, Lietuvos banko oficialiųjų atsargų, oficialiųjų užsienio valiutų santykių rodikliams.</w:t>
      </w:r>
    </w:p>
    <w:p w14:paraId="16E34E87" w14:textId="77777777">
      <w:pPr>
        <w:ind w:firstLine="708"/>
        <w:jc w:val="both"/>
        <w:rPr>
          <w:color w:val="000000"/>
        </w:rPr>
      </w:pPr>
      <w:r>
        <w:rPr>
          <w:color w:val="000000"/>
        </w:rPr>
        <w:t>2</w:t>
      </w:r>
      <w:r>
        <w:rPr>
          <w:color w:val="000000"/>
        </w:rPr>
        <w:t>. Paskirti atsakingais už duomenų platinimo specialiųjų standartų taikymą Lietuvos Respublikoje:</w:t>
      </w:r>
    </w:p>
    <w:p w14:paraId="16E34E88" w14:textId="77777777">
      <w:pPr>
        <w:ind w:firstLine="708"/>
        <w:jc w:val="both"/>
        <w:rPr>
          <w:color w:val="000000"/>
        </w:rPr>
      </w:pPr>
      <w:r>
        <w:rPr>
          <w:color w:val="000000"/>
        </w:rPr>
        <w:t>2.1</w:t>
      </w:r>
      <w:r>
        <w:rPr>
          <w:color w:val="000000"/>
        </w:rPr>
        <w:t>. Finansų ministeriją - nacionalinio biudžeto, Lietuvos valstybės biudžeto bei valstybės skolos rodikliams;</w:t>
      </w:r>
    </w:p>
    <w:p w14:paraId="16E34E89" w14:textId="77777777">
      <w:pPr>
        <w:ind w:firstLine="708"/>
        <w:jc w:val="both"/>
        <w:rPr>
          <w:color w:val="000000"/>
        </w:rPr>
      </w:pPr>
      <w:r>
        <w:rPr>
          <w:color w:val="000000"/>
        </w:rPr>
        <w:t>2.2</w:t>
      </w:r>
      <w:r>
        <w:rPr>
          <w:color w:val="000000"/>
        </w:rPr>
        <w:t>. Statistikos departamentą prie Lietuvos Respublikos Vyriausybės - nacionalinių sąskaitų, produkcijos indekso, darbo rinkos (užimtumo, bedarbystės, darbo apmokėjimo), vartotojų ir gamintojų kainų indeksų, užsienio prekybos ir gyventojų rodikliams.</w:t>
      </w:r>
    </w:p>
    <w:p w14:paraId="16E34E8A" w14:textId="77777777">
      <w:pPr>
        <w:ind w:firstLine="708"/>
        <w:jc w:val="both"/>
        <w:rPr>
          <w:color w:val="000000"/>
        </w:rPr>
      </w:pPr>
      <w:r>
        <w:rPr>
          <w:color w:val="000000"/>
        </w:rPr>
        <w:t>3</w:t>
      </w:r>
      <w:r>
        <w:rPr>
          <w:color w:val="000000"/>
        </w:rPr>
        <w:t>. Įpareigoti Finansų ministeriją ir Statistikos departamentą:</w:t>
      </w:r>
    </w:p>
    <w:p w14:paraId="16E34E8B" w14:textId="77777777">
      <w:pPr>
        <w:ind w:firstLine="708"/>
        <w:jc w:val="both"/>
        <w:rPr>
          <w:color w:val="000000"/>
        </w:rPr>
      </w:pPr>
      <w:r>
        <w:rPr>
          <w:color w:val="000000"/>
        </w:rPr>
        <w:t>3.1</w:t>
      </w:r>
      <w:r>
        <w:rPr>
          <w:color w:val="000000"/>
        </w:rPr>
        <w:t>. sudaryti atitinkamų rodiklių duomenų rengimo ir skelbimo grafikus (kalendorius), juos tikslinti, atnaujinti ir pateikti koordinatoriui;</w:t>
      </w:r>
    </w:p>
    <w:p w14:paraId="16E34E8C" w14:textId="77777777">
      <w:pPr>
        <w:ind w:firstLine="708"/>
        <w:jc w:val="both"/>
        <w:rPr>
          <w:color w:val="000000"/>
        </w:rPr>
      </w:pPr>
      <w:r>
        <w:rPr>
          <w:color w:val="000000"/>
        </w:rPr>
        <w:t>3.2</w:t>
      </w:r>
      <w:r>
        <w:rPr>
          <w:color w:val="000000"/>
        </w:rPr>
        <w:t>. iš anksto informuoti koordinatorių apie numatomus rodiklių skaičiavimo metodologijos pakeitimus;</w:t>
      </w:r>
    </w:p>
    <w:p w14:paraId="16E34E8D" w14:textId="77777777">
      <w:pPr>
        <w:ind w:firstLine="708"/>
        <w:jc w:val="both"/>
        <w:rPr>
          <w:color w:val="000000"/>
        </w:rPr>
      </w:pPr>
      <w:r>
        <w:rPr>
          <w:color w:val="000000"/>
        </w:rPr>
        <w:t>3.3</w:t>
      </w:r>
      <w:r>
        <w:rPr>
          <w:color w:val="000000"/>
        </w:rPr>
        <w:t>. skelbti paaiškinimus dėl anksčiau paskelbtų duomenų pakeitimų ar patikslinimų;</w:t>
      </w:r>
    </w:p>
    <w:p w14:paraId="16E34E8E" w14:textId="77777777">
      <w:pPr>
        <w:ind w:firstLine="708"/>
        <w:jc w:val="both"/>
        <w:rPr>
          <w:color w:val="000000"/>
        </w:rPr>
      </w:pPr>
      <w:r>
        <w:rPr>
          <w:color w:val="000000"/>
        </w:rPr>
        <w:t>3.4</w:t>
      </w:r>
      <w:r>
        <w:rPr>
          <w:color w:val="000000"/>
        </w:rPr>
        <w:t>. pasikeitus rodiklių turiniui, jų skelbimo būdui ar periodiškumui, teikti koordinatoriui atitinkamai patikslintus anksčiau pateiktus duomenis;</w:t>
      </w:r>
    </w:p>
    <w:p w14:paraId="16E34E91" w14:textId="53214CDF">
      <w:pPr>
        <w:ind w:firstLine="708"/>
        <w:jc w:val="both"/>
        <w:rPr>
          <w:color w:val="000000"/>
        </w:rPr>
      </w:pPr>
      <w:r>
        <w:rPr>
          <w:color w:val="000000"/>
        </w:rPr>
        <w:t>3.5</w:t>
      </w:r>
      <w:r>
        <w:rPr>
          <w:color w:val="000000"/>
        </w:rPr>
        <w:t>. pasikeitus darbuotojui, atsakingam už duomenų platinimo specialiųjų standartų taikymą institucijoje, apie tai pranešti koordinatoriui.</w:t>
      </w:r>
    </w:p>
    <w:p w14:paraId="21B64355" w14:textId="77777777">
      <w:pPr>
        <w:tabs>
          <w:tab w:val="right" w:pos="9639"/>
        </w:tabs>
      </w:pPr>
    </w:p>
    <w:p w14:paraId="3F69F5A5" w14:textId="77777777">
      <w:pPr>
        <w:tabs>
          <w:tab w:val="right" w:pos="9639"/>
        </w:tabs>
      </w:pPr>
    </w:p>
    <w:p w14:paraId="16E34E92" w14:textId="6841CD32">
      <w:pPr>
        <w:tabs>
          <w:tab w:val="right" w:pos="9639"/>
        </w:tabs>
      </w:pPr>
      <w:r>
        <w:t>MINISTRAS PIRMININKAS</w:t>
        <w:tab/>
        <w:t>GEDIMINAS VAGNORIUS</w:t>
      </w:r>
    </w:p>
    <w:p w14:paraId="16E34E93" w14:textId="77777777">
      <w:pPr>
        <w:ind w:firstLine="708"/>
        <w:rPr>
          <w:color w:val="000000"/>
        </w:rPr>
      </w:pPr>
    </w:p>
    <w:p w14:paraId="16E34E94" w14:textId="77777777">
      <w:pPr>
        <w:tabs>
          <w:tab w:val="right" w:pos="9639"/>
        </w:tabs>
      </w:pPr>
      <w:r>
        <w:t>FINANSŲ MINISTRAS</w:t>
        <w:tab/>
        <w:t>ALGIRDAS ŠEMETA</w:t>
      </w:r>
    </w:p>
    <w:p w14:paraId="16E34E95" w14:textId="0DB2DC33">
      <w:pPr>
        <w:jc w:val="center"/>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34E99" w14:textId="77777777">
      <w:r>
        <w:separator/>
      </w:r>
    </w:p>
  </w:endnote>
  <w:endnote w:type="continuationSeparator" w:id="0">
    <w:p w14:paraId="16E34E9A"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4E9F"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4EA0"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4EA2"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34E97" w14:textId="77777777">
      <w:r>
        <w:separator/>
      </w:r>
    </w:p>
  </w:footnote>
  <w:footnote w:type="continuationSeparator" w:id="0">
    <w:p w14:paraId="16E34E98"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4E9B"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6E34E9C"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4E9D"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16E34E9E"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4EA1"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E34E7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69750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1951</Characters>
  <Application>Microsoft Office Word</Application>
  <DocSecurity>4</DocSecurity>
  <Lines>43</Lines>
  <Paragraphs>21</Paragraphs>
  <ScaleCrop>false</ScaleCrop>
  <Company/>
  <LinksUpToDate>false</LinksUpToDate>
  <CharactersWithSpaces>2188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2016-06-17T12:51:00Z</dcterms:created>
  <dc:creator>User</dc:creator>
  <lastModifiedBy>Adlib User</lastModifiedBy>
  <dcterms:modified xsi:type="dcterms:W3CDTF">2016-06-17T12:51:00Z</dcterms:modified>
  <revision>2</revision>
</coreProperties>
</file>