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45ACA" w14:textId="4FF4FF75" w:rsidR="00BB1355" w:rsidRDefault="000F680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5F245AF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ADMINISTRACINIŲ GINČŲ KOMISIJŲ ĮSTATYMO 2, 3, 5, 6, 18 STRAIPSNIŲ PAKEITIMO IR 4 STRAIPSNIO PRIPAŽINIMO NETEKUSIU GALIOS ĮSTATYMAS</w:t>
      </w:r>
    </w:p>
    <w:p w14:paraId="5F245ACB" w14:textId="77777777" w:rsidR="00BB1355" w:rsidRDefault="00BB1355">
      <w:pPr>
        <w:widowControl w:val="0"/>
        <w:suppressAutoHyphens/>
        <w:jc w:val="center"/>
        <w:rPr>
          <w:color w:val="000000"/>
        </w:rPr>
      </w:pPr>
    </w:p>
    <w:p w14:paraId="5F245ACC" w14:textId="77777777" w:rsidR="00BB1355" w:rsidRDefault="000F680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22 d. Nr. XI-925</w:t>
      </w:r>
    </w:p>
    <w:p w14:paraId="5F245ACD" w14:textId="77777777" w:rsidR="00BB1355" w:rsidRDefault="000F680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F245ACE" w14:textId="77777777" w:rsidR="00BB1355" w:rsidRDefault="00BB1355">
      <w:pPr>
        <w:keepLines/>
        <w:widowControl w:val="0"/>
        <w:suppressAutoHyphens/>
        <w:jc w:val="center"/>
        <w:rPr>
          <w:color w:val="000000"/>
        </w:rPr>
      </w:pPr>
    </w:p>
    <w:p w14:paraId="5F245ACF" w14:textId="77777777" w:rsidR="00BB1355" w:rsidRDefault="000F680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13-310</w:t>
        </w:r>
      </w:hyperlink>
      <w:r>
        <w:rPr>
          <w:color w:val="000000"/>
        </w:rPr>
        <w:t xml:space="preserve">; 2000, Nr. </w:t>
      </w:r>
      <w:hyperlink r:id="rId11" w:tgtFrame="_blank" w:history="1">
        <w:r>
          <w:rPr>
            <w:color w:val="0000FF" w:themeColor="hyperlink"/>
            <w:u w:val="single"/>
          </w:rPr>
          <w:t>85-2569</w:t>
        </w:r>
      </w:hyperlink>
      <w:r>
        <w:rPr>
          <w:color w:val="000000"/>
        </w:rPr>
        <w:t xml:space="preserve">; 2002, Nr. </w:t>
      </w:r>
      <w:hyperlink r:id="rId12" w:tgtFrame="_blank" w:history="1">
        <w:r>
          <w:rPr>
            <w:color w:val="0000FF" w:themeColor="hyperlink"/>
            <w:u w:val="single"/>
          </w:rPr>
          <w:t>64-2578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4-48</w:t>
        </w:r>
      </w:hyperlink>
      <w:r>
        <w:rPr>
          <w:color w:val="000000"/>
        </w:rPr>
        <w:t>)</w:t>
      </w:r>
    </w:p>
    <w:p w14:paraId="5F245AD0" w14:textId="77777777" w:rsidR="00BB1355" w:rsidRDefault="00BB1355">
      <w:pPr>
        <w:ind w:firstLine="567"/>
        <w:jc w:val="both"/>
      </w:pPr>
    </w:p>
    <w:p w14:paraId="5F245AD1" w14:textId="77777777" w:rsidR="00BB1355" w:rsidRDefault="000F680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straipsnio 2 ir 3 dalių pakeitimas</w:t>
      </w:r>
    </w:p>
    <w:p w14:paraId="5F245AD2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2 straipsnio 2 dalį ir ją išdėstyti taip:</w:t>
      </w:r>
    </w:p>
    <w:p w14:paraId="5F245AD3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Skundus (prašymus) dėl p</w:t>
      </w:r>
      <w:r>
        <w:rPr>
          <w:color w:val="000000"/>
        </w:rPr>
        <w:t>riimtų individualių administracinių aktų ar viešojo administravimo subjektų veiksmų (neveikimo) viešojo administravimo srityje ikiteismine tvarka nagrinėja Vyriausioji administracinių ginčų komisija.“</w:t>
      </w:r>
    </w:p>
    <w:p w14:paraId="5F245AD4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2 straipsnio 3 dalį ir ją išdėstyti</w:t>
      </w:r>
      <w:r>
        <w:rPr>
          <w:color w:val="000000"/>
        </w:rPr>
        <w:t xml:space="preserve"> taip:</w:t>
      </w:r>
    </w:p>
    <w:p w14:paraId="5F245AD5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Išskyrus Administracinių bylų teisenos įstatyme arba kituose įstatymuose nustatytas išimtis, Vyriausioji administracinių ginčų komisija sprendžia ginčus, kurie priskirti Vilniaus apygardos administracinio teismo papildomai kompetencijai.“</w:t>
      </w:r>
    </w:p>
    <w:p w14:paraId="5F245AD6" w14:textId="77777777" w:rsidR="00BB1355" w:rsidRDefault="000F6805">
      <w:pPr>
        <w:ind w:firstLine="567"/>
        <w:jc w:val="both"/>
      </w:pPr>
    </w:p>
    <w:p w14:paraId="5F245AD7" w14:textId="77777777" w:rsidR="00BB1355" w:rsidRDefault="000F680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pakeitimas</w:t>
      </w:r>
    </w:p>
    <w:p w14:paraId="5F245AD8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Pakeisti 3 straipsnį ir jį išdėstyti taip: </w:t>
      </w:r>
    </w:p>
    <w:p w14:paraId="5F245AD9" w14:textId="77777777" w:rsidR="00BB1355" w:rsidRDefault="000F6805">
      <w:pPr>
        <w:widowControl w:val="0"/>
        <w:suppressAutoHyphens/>
        <w:ind w:left="2280" w:hanging="1713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Savivaldybės visuomeninės administracinių ginčų komisijos sudarymas</w:t>
      </w:r>
    </w:p>
    <w:p w14:paraId="5F245ADA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Savivaldybės visuomeninė administracinių ginčų komisija sudaroma 4 metams</w:t>
      </w:r>
      <w:r>
        <w:rPr>
          <w:color w:val="000000"/>
        </w:rPr>
        <w:t xml:space="preserve"> savivaldybės tarybos sprendimu tarybos kadencijos laikotarpiui iš 5 narių, iš kurių pirmininkas ir sekretorius turi turėti aukštąjį teisinį išsilavinimą. Komisijos narių kandidatūras, iš jų komisijos pirmininko ir pirmininko pavaduotojo kandidatūras, savi</w:t>
      </w:r>
      <w:r>
        <w:rPr>
          <w:color w:val="000000"/>
        </w:rPr>
        <w:t>valdybės tarybai teikia savivaldybės meras.</w:t>
      </w:r>
    </w:p>
    <w:p w14:paraId="5F245ADB" w14:textId="77777777" w:rsidR="00BB1355" w:rsidRDefault="000F6805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Savivaldybės visuomeninės administracinių ginčų komisijos pirmininkas, pirmininko pavaduotojas ir nariai turi teisę atsistatydinti. Savivaldybės meras motyvuotu teikimu gali siūlyti savivaldybės tarybai at</w:t>
      </w:r>
      <w:r>
        <w:rPr>
          <w:color w:val="000000"/>
        </w:rPr>
        <w:t>leisti savivaldybės visuomeninės administracinių ginčų komisijos pirmininką, pirmininko pavaduotoją ar narį prieš laiką ir vietoj jų teikti naujas kandidatūras likusios savivaldybės tarybos kadencijos laikotarpiui.“</w:t>
      </w:r>
    </w:p>
    <w:p w14:paraId="5F245ADC" w14:textId="77777777" w:rsidR="00BB1355" w:rsidRDefault="000F6805">
      <w:pPr>
        <w:ind w:firstLine="567"/>
        <w:jc w:val="both"/>
      </w:pPr>
    </w:p>
    <w:p w14:paraId="5F245ADD" w14:textId="77777777" w:rsidR="00BB1355" w:rsidRDefault="000F680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4 straipsnio </w:t>
      </w:r>
      <w:r>
        <w:rPr>
          <w:b/>
          <w:bCs/>
          <w:color w:val="000000"/>
        </w:rPr>
        <w:t>pripažinimas netekusiu galios</w:t>
      </w:r>
    </w:p>
    <w:p w14:paraId="5F245ADE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 straipsnį pripažinti netekusiu galios.</w:t>
      </w:r>
    </w:p>
    <w:p w14:paraId="5F245ADF" w14:textId="77777777" w:rsidR="00BB1355" w:rsidRDefault="000F6805">
      <w:pPr>
        <w:ind w:firstLine="567"/>
        <w:jc w:val="both"/>
      </w:pPr>
    </w:p>
    <w:p w14:paraId="5F245AE0" w14:textId="77777777" w:rsidR="00BB1355" w:rsidRDefault="000F680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5 straipsnio pakeitimas </w:t>
      </w:r>
    </w:p>
    <w:p w14:paraId="5F245AE1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Pakeisti 5 straipsnį ir jį išdėstyti taip: </w:t>
      </w:r>
    </w:p>
    <w:p w14:paraId="5F245AE2" w14:textId="77777777" w:rsidR="00BB1355" w:rsidRDefault="000F6805">
      <w:pPr>
        <w:widowControl w:val="0"/>
        <w:suppressAutoHyphens/>
        <w:ind w:left="2280" w:hanging="1713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Savivaldybės visuomeninės administracinių ginčų komisijos kompetencija</w:t>
      </w:r>
    </w:p>
    <w:p w14:paraId="5F245AE3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Savivaldybės visuomeninė administracinių ginčų komisija nagrinėja asmenų skundus dėl savivaldybių viešojo administravimo subjektų priimtų individualių administracinių aktų ir veiksmų teisėtumo, taip pat šių subjektų atsisakymo ar vilkinimo atlikti jų k</w:t>
      </w:r>
      <w:r>
        <w:rPr>
          <w:color w:val="000000"/>
        </w:rPr>
        <w:t>ompetencijai priskirtus veiksmus teisėtumo ir pagrįstumo.</w:t>
      </w:r>
    </w:p>
    <w:p w14:paraId="5F245AE4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Savivaldybės visuomeninės administracinių ginčų komisijos nesprendžia: </w:t>
      </w:r>
    </w:p>
    <w:p w14:paraId="5F245AE5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Administracinių bylų teisenos įstatymo 16 straipsnyje, 18 straipsnio 2 ir 3 dalyse, 19 straipsnyje ir 20 straipsni</w:t>
      </w:r>
      <w:r>
        <w:rPr>
          <w:color w:val="000000"/>
        </w:rPr>
        <w:t xml:space="preserve">o 1 dalyje nurodytų ginčų (bylų), taip pat mokesčių bylų; </w:t>
      </w:r>
    </w:p>
    <w:p w14:paraId="5F245AE6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administracinių ginčų, kuriems nagrinėti įstatymuose numatyta kitokia tvarka.“</w:t>
      </w:r>
    </w:p>
    <w:p w14:paraId="5F245AE7" w14:textId="77777777" w:rsidR="00BB1355" w:rsidRDefault="000F6805">
      <w:pPr>
        <w:ind w:firstLine="567"/>
        <w:jc w:val="both"/>
      </w:pPr>
    </w:p>
    <w:p w14:paraId="5F245AE8" w14:textId="77777777" w:rsidR="00BB1355" w:rsidRDefault="000F680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6 straipsnio pakeitimas </w:t>
      </w:r>
    </w:p>
    <w:p w14:paraId="5F245AE9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Pakeisti 6 straipsnį ir jį išdėstyti taip: </w:t>
      </w:r>
    </w:p>
    <w:p w14:paraId="5F245AEA" w14:textId="77777777" w:rsidR="00BB1355" w:rsidRDefault="000F6805">
      <w:pPr>
        <w:widowControl w:val="0"/>
        <w:suppressAutoHyphens/>
        <w:ind w:left="2040" w:hanging="1473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</w:t>
      </w:r>
      <w:r>
        <w:rPr>
          <w:b/>
          <w:bCs/>
          <w:color w:val="000000"/>
        </w:rPr>
        <w:t xml:space="preserve">snis. </w:t>
      </w:r>
      <w:r>
        <w:rPr>
          <w:b/>
          <w:bCs/>
          <w:color w:val="000000"/>
        </w:rPr>
        <w:t>Savivaldybės visuomeninės administracinių ginčų komisijos darbo tvarka</w:t>
      </w:r>
    </w:p>
    <w:p w14:paraId="5F245AEB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Savivaldybės visuomeninės administracinių ginčų komisijos posėdžiai vyksta iš anksto nustatytomis savaitės dienomis.</w:t>
      </w:r>
    </w:p>
    <w:p w14:paraId="5F245AEC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Savivaldybės visuomeninę administracinių ginčų komisiją techniškai aptarnauja savivaldybės administracija. </w:t>
      </w:r>
    </w:p>
    <w:p w14:paraId="5F245AED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Už savo darbą savivaldybės visuomeninė administracinių ginčų komisija kartą per metus atsiskaito savivaldybės tarybai, taip pat yra atsakin</w:t>
      </w:r>
      <w:r>
        <w:rPr>
          <w:color w:val="000000"/>
        </w:rPr>
        <w:t>ga savivaldybės merui.“</w:t>
      </w:r>
    </w:p>
    <w:p w14:paraId="5F245AEE" w14:textId="77777777" w:rsidR="00BB1355" w:rsidRDefault="000F6805">
      <w:pPr>
        <w:ind w:firstLine="567"/>
        <w:jc w:val="both"/>
      </w:pPr>
    </w:p>
    <w:p w14:paraId="5F245AEF" w14:textId="77777777" w:rsidR="00BB1355" w:rsidRDefault="000F680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18 straipsnio 1 dalies pakeitimas</w:t>
      </w:r>
    </w:p>
    <w:p w14:paraId="5F245AF0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18 straipsnio 1 dalyje vietoj žodžių „ir apskrities“ įrašyti žodį „visuomeninės“, vietoj žodžio „komisijų“ įrašyti žodį „komisijos“ ir šią dalį išdėstyti taip: </w:t>
      </w:r>
    </w:p>
    <w:p w14:paraId="5F245AF1" w14:textId="7777777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Sa</w:t>
      </w:r>
      <w:r>
        <w:rPr>
          <w:color w:val="000000"/>
        </w:rPr>
        <w:t>vivaldybės visuomeninės administracinių ginčų komisijos sprendimas per 20 dienų nuo jo gavimo dienos gali būti apskųstas atitinkamos apygardos administraciniam teismui.“</w:t>
      </w:r>
    </w:p>
    <w:p w14:paraId="5F245AF2" w14:textId="77777777" w:rsidR="00BB1355" w:rsidRDefault="000F6805">
      <w:pPr>
        <w:ind w:firstLine="567"/>
        <w:jc w:val="both"/>
      </w:pPr>
    </w:p>
    <w:p w14:paraId="5F245AF3" w14:textId="77777777" w:rsidR="00BB1355" w:rsidRDefault="000F680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5F245AF5" w14:textId="698F6E07" w:rsidR="00BB1355" w:rsidRDefault="000F680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Šis įstatymas įsigalioja 2010 m. </w:t>
      </w:r>
      <w:r>
        <w:rPr>
          <w:color w:val="000000"/>
        </w:rPr>
        <w:t>liepos 1 d.</w:t>
      </w:r>
    </w:p>
    <w:bookmarkStart w:id="0" w:name="_GoBack" w:displacedByCustomXml="next"/>
    <w:bookmarkEnd w:id="0" w:displacedByCustomXml="next"/>
    <w:p w14:paraId="59CABEE4" w14:textId="77777777" w:rsidR="000F6805" w:rsidRDefault="000F6805">
      <w:pPr>
        <w:widowControl w:val="0"/>
        <w:suppressAutoHyphens/>
        <w:ind w:firstLine="567"/>
        <w:jc w:val="both"/>
        <w:rPr>
          <w:i/>
          <w:iCs/>
          <w:color w:val="000000"/>
        </w:rPr>
      </w:pPr>
    </w:p>
    <w:p w14:paraId="5F245AF6" w14:textId="520A208C" w:rsidR="00BB1355" w:rsidRDefault="000F6805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5F245AF7" w14:textId="77777777" w:rsidR="00BB1355" w:rsidRDefault="00BB1355">
      <w:pPr>
        <w:widowControl w:val="0"/>
        <w:suppressAutoHyphens/>
        <w:ind w:firstLine="567"/>
        <w:jc w:val="both"/>
        <w:rPr>
          <w:color w:val="000000"/>
        </w:rPr>
      </w:pPr>
    </w:p>
    <w:p w14:paraId="5F245AF8" w14:textId="77777777" w:rsidR="00BB1355" w:rsidRDefault="00BB135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F245AF9" w14:textId="77777777" w:rsidR="00BB1355" w:rsidRDefault="000F680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i/>
          <w:iCs/>
          <w:caps/>
          <w:color w:val="000000"/>
        </w:rPr>
        <w:tab/>
      </w:r>
      <w:r>
        <w:rPr>
          <w:caps/>
          <w:color w:val="000000"/>
        </w:rPr>
        <w:t>DALIA GRYBAUSKAITĖ</w:t>
      </w:r>
    </w:p>
    <w:p w14:paraId="5F245AFA" w14:textId="04F90E57" w:rsidR="00BB1355" w:rsidRDefault="00BB1355">
      <w:pPr>
        <w:widowControl w:val="0"/>
        <w:suppressAutoHyphens/>
        <w:ind w:firstLine="567"/>
        <w:jc w:val="both"/>
        <w:rPr>
          <w:color w:val="000000"/>
        </w:rPr>
      </w:pPr>
    </w:p>
    <w:p w14:paraId="5F245AFC" w14:textId="15AFF6DD" w:rsidR="00BB1355" w:rsidRDefault="000F6805"/>
    <w:sectPr w:rsidR="00BB13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45B00" w14:textId="77777777" w:rsidR="00BB1355" w:rsidRDefault="000F6805">
      <w:r>
        <w:separator/>
      </w:r>
    </w:p>
  </w:endnote>
  <w:endnote w:type="continuationSeparator" w:id="0">
    <w:p w14:paraId="5F245B01" w14:textId="77777777" w:rsidR="00BB1355" w:rsidRDefault="000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5B04" w14:textId="77777777" w:rsidR="00BB1355" w:rsidRDefault="00BB1355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5B05" w14:textId="77777777" w:rsidR="00BB1355" w:rsidRDefault="00BB1355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5B07" w14:textId="77777777" w:rsidR="00BB1355" w:rsidRDefault="00BB135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5AFE" w14:textId="77777777" w:rsidR="00BB1355" w:rsidRDefault="000F6805">
      <w:r>
        <w:separator/>
      </w:r>
    </w:p>
  </w:footnote>
  <w:footnote w:type="continuationSeparator" w:id="0">
    <w:p w14:paraId="5F245AFF" w14:textId="77777777" w:rsidR="00BB1355" w:rsidRDefault="000F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5B02" w14:textId="77777777" w:rsidR="00BB1355" w:rsidRDefault="00BB135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5B03" w14:textId="77777777" w:rsidR="00BB1355" w:rsidRDefault="00BB135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5B06" w14:textId="77777777" w:rsidR="00BB1355" w:rsidRDefault="00BB135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9"/>
    <w:rsid w:val="000F6805"/>
    <w:rsid w:val="00BB1355"/>
    <w:rsid w:val="00E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45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6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6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94F129CE9AD"/>
  <Relationship Id="rId11" Type="http://schemas.openxmlformats.org/officeDocument/2006/relationships/hyperlink" TargetMode="External" Target="https://www.e-tar.lt/portal/lt/legalAct/TAR.5CE776AAD3BE"/>
  <Relationship Id="rId12" Type="http://schemas.openxmlformats.org/officeDocument/2006/relationships/hyperlink" TargetMode="External" Target="https://www.e-tar.lt/portal/lt/legalAct/TAR.05E747061969"/>
  <Relationship Id="rId13" Type="http://schemas.openxmlformats.org/officeDocument/2006/relationships/hyperlink" TargetMode="External" Target="https://www.e-tar.lt/portal/lt/legalAct/TAR.82F685126753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61"/>
    <w:rsid w:val="004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4E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4E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2795</Words>
  <Characters>1594</Characters>
  <Application>Microsoft Office Word</Application>
  <DocSecurity>0</DocSecurity>
  <Lines>13</Lines>
  <Paragraphs>8</Paragraphs>
  <ScaleCrop>false</ScaleCrop>
  <Company/>
  <LinksUpToDate>false</LinksUpToDate>
  <CharactersWithSpaces>4381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2015-09-05T01:50:00Z</dcterms:created>
  <dc:creator>Rima</dc:creator>
  <lastModifiedBy>TRAPINSKIENĖ Aušrinė</lastModifiedBy>
  <dcterms:modified xsi:type="dcterms:W3CDTF">2016-06-15T12:38:00Z</dcterms:modified>
  <revision>3</revision>
  <dc:title>LIETUVOS RESPUBLIKOS ADMINISTRACINIŲ GINČŲ KOMISIJŲ ĮSTATYMO 2, 3, 5, 6, 18 STRAIPSNIŲ PAKEITIMO IR 4 STRAIPSNIO PRIPAŽINIMO NETEKUSIU GALIOS ĮSTATYMAS</dc:title>
</coreProperties>
</file>