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KONSULINIO MOKESČIO ĮSTATYMO 5 STRAIPSNIO PAKEITIMO </w:t>
      </w:r>
    </w:p>
    <w:p>
      <w:pPr>
        <w:keepLines/>
        <w:widowControl w:val="0"/>
        <w:suppressAutoHyphens/>
        <w:jc w:val="center"/>
        <w:rPr>
          <w:b/>
          <w:bCs/>
          <w:caps/>
          <w:color w:val="000000"/>
          <w:spacing w:val="60"/>
        </w:rPr>
      </w:pPr>
      <w:r>
        <w:rPr>
          <w:b/>
          <w:bCs/>
          <w:caps/>
          <w:color w:val="000000"/>
          <w:spacing w:val="60"/>
        </w:rPr>
        <w:t>ĮSTATYMAS</w:t>
      </w:r>
    </w:p>
    <w:p>
      <w:pPr>
        <w:widowControl w:val="0"/>
        <w:suppressAutoHyphens/>
        <w:jc w:val="center"/>
        <w:rPr>
          <w:b/>
          <w:bCs/>
          <w:color w:val="000000"/>
        </w:rPr>
      </w:pPr>
    </w:p>
    <w:p>
      <w:pPr>
        <w:keepLines/>
        <w:widowControl w:val="0"/>
        <w:suppressAutoHyphens/>
        <w:jc w:val="center"/>
        <w:rPr>
          <w:color w:val="000000"/>
        </w:rPr>
      </w:pPr>
      <w:r>
        <w:rPr>
          <w:color w:val="000000"/>
        </w:rPr>
        <w:t>2011 m. birželio 20 d. Nr. XI-1461</w:t>
      </w:r>
    </w:p>
    <w:p>
      <w:pPr>
        <w:keepLines/>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1994, Nr. </w:t>
      </w:r>
      <w:fldSimple w:instr="HYPERLINK https://www.e-tar.lt/portal/lt/legalAct/TAR.B2F1F575D794 \t _blank">
        <w:r>
          <w:rPr>
            <w:color w:val="0000FF" w:themeColor="hyperlink"/>
            <w:u w:val="single"/>
          </w:rPr>
          <w:t>51-951</w:t>
        </w:r>
      </w:fldSimple>
      <w:r>
        <w:rPr>
          <w:color w:val="000000"/>
        </w:rPr>
        <w:t xml:space="preserve">; 2007, Nr. </w:t>
      </w:r>
      <w:fldSimple w:instr="HYPERLINK https://www.e-tar.lt/portal/lt/legalAct/TAR.968C87488824 \t _blank">
        <w:r>
          <w:rPr>
            <w:color w:val="0000FF" w:themeColor="hyperlink"/>
            <w:u w:val="single"/>
          </w:rPr>
          <w:t>114-4631</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5 straipsnio pakeitimas</w:t>
      </w:r>
    </w:p>
    <w:p>
      <w:pPr>
        <w:widowControl w:val="0"/>
        <w:suppressAutoHyphens/>
        <w:ind w:firstLine="567"/>
        <w:jc w:val="both"/>
        <w:rPr>
          <w:color w:val="000000"/>
        </w:rPr>
      </w:pPr>
      <w:r>
        <w:rPr>
          <w:color w:val="000000"/>
        </w:rPr>
        <w:t>Pakeisti 5 straipsnį ir jį išdėstyti taip:</w:t>
      </w:r>
    </w:p>
    <w:p>
      <w:pPr>
        <w:widowControl w:val="0"/>
        <w:suppressAutoHyphens/>
        <w:ind w:left="2160" w:hanging="1593"/>
        <w:jc w:val="both"/>
        <w:rPr>
          <w:color w:val="000000"/>
        </w:rPr>
      </w:pPr>
      <w:r>
        <w:rPr>
          <w:color w:val="000000"/>
        </w:rPr>
        <w:t>„</w:t>
      </w:r>
      <w:r>
        <w:rPr>
          <w:b/>
          <w:bCs/>
          <w:color w:val="000000"/>
        </w:rPr>
        <w:t>5</w:t>
      </w:r>
      <w:r>
        <w:rPr>
          <w:b/>
          <w:bCs/>
          <w:color w:val="000000"/>
        </w:rPr>
        <w:t xml:space="preserve"> straipsnis. </w:t>
      </w:r>
      <w:r>
        <w:rPr>
          <w:b/>
          <w:bCs/>
          <w:color w:val="000000"/>
        </w:rPr>
        <w:t>Mokesčio dydžio ir lengvatų taikymas pariteto pagrindais ir įgyvendinant Lietuvos Respublikos Seimo priimtus teisės aktus</w:t>
      </w:r>
    </w:p>
    <w:p>
      <w:pPr>
        <w:widowControl w:val="0"/>
        <w:suppressAutoHyphens/>
        <w:ind w:firstLine="567"/>
        <w:jc w:val="both"/>
        <w:rPr>
          <w:color w:val="000000"/>
        </w:rPr>
      </w:pPr>
      <w:r>
        <w:rPr>
          <w:color w:val="000000"/>
        </w:rPr>
        <w:t>Lietuvos Respublikos Vyriausybė tiek, kiek tai neprieštarauja Europos Sąjungos teisės aktams, turi teisę padidinti, sumažinti arba neimti pagal šio įstatymo 4 straipsnį nustatyto konsulinio mokesčio:</w:t>
      </w:r>
    </w:p>
    <w:p>
      <w:pPr>
        <w:widowControl w:val="0"/>
        <w:suppressAutoHyphens/>
        <w:ind w:firstLine="567"/>
        <w:jc w:val="both"/>
        <w:rPr>
          <w:color w:val="000000"/>
        </w:rPr>
      </w:pPr>
      <w:r>
        <w:rPr>
          <w:color w:val="000000"/>
        </w:rPr>
        <w:t>1</w:t>
      </w:r>
      <w:r>
        <w:rPr>
          <w:color w:val="000000"/>
        </w:rPr>
        <w:t>) pariteto pagrindais už prašymų išduoti vizas nagrinėjimą, dokumentų pareikalavimą ir jų legalizavimą užsienio valstybių juridiniams ir fiziniams asmenims, atsižvelgiant į tai, kokio dydžio mokestį šios valstybės ima iš Lietuvos Respublikos juridinių ir fizinių asmenų;</w:t>
      </w:r>
    </w:p>
    <w:p>
      <w:pPr>
        <w:widowControl w:val="0"/>
        <w:suppressAutoHyphens/>
        <w:ind w:firstLine="567"/>
        <w:jc w:val="both"/>
        <w:rPr>
          <w:color w:val="000000"/>
        </w:rPr>
      </w:pPr>
      <w:r>
        <w:rPr>
          <w:color w:val="000000"/>
        </w:rPr>
        <w:t>2</w:t>
      </w:r>
      <w:r>
        <w:rPr>
          <w:color w:val="000000"/>
        </w:rPr>
        <w:t>) už prašymų išduoti vizas nagrinėjimą, kai tai būtina įgyvendinant Lietuvos Respublikos Seimo priimtuose teisės aktuose numatytus užsienio politikos ar nacionalinio saugumo tikslus. Jeigu konsulinis mokestis didinamas, jis negali būti didesnis kaip 500 eurų.“</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D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1090</Characters>
  <Application>Microsoft Office Word</Application>
  <DocSecurity>4</DocSecurity>
  <Lines>29</Lines>
  <Paragraphs>17</Paragraphs>
  <ScaleCrop>false</ScaleCrop>
  <Company/>
  <LinksUpToDate>false</LinksUpToDate>
  <CharactersWithSpaces>1233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2015-10-13T23:42:00Z</dcterms:created>
  <dc:creator>Rima</dc:creator>
  <lastModifiedBy>Adlib User</lastModifiedBy>
  <dcterms:modified xsi:type="dcterms:W3CDTF">2015-10-13T23:42:00Z</dcterms:modified>
  <revision>2</revision>
  <dc:title>LIETUVOS RESPUBLIKOS KONSULINIO MOKESČIO ĮSTATYMO 5 STRAIPSNIO PAKEITIMO ĮSTATYMAS</dc:title>
</coreProperties>
</file>