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BC" w:rsidRDefault="004905BC">
      <w:pPr>
        <w:tabs>
          <w:tab w:val="center" w:pos="4153"/>
          <w:tab w:val="right" w:pos="8306"/>
        </w:tabs>
        <w:rPr>
          <w:lang w:val="en-GB"/>
        </w:rPr>
      </w:pPr>
    </w:p>
    <w:p w:rsidR="004905BC" w:rsidRDefault="00064C81">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691" type="#_x0000_t201" style="position:absolute;left:0;text-align:left;margin-left:-85.05pt;margin-top:-56.7pt;width:.75pt;height:.75pt;z-index:251658240;visibility:hidden;mso-position-horizontal-relative:text;mso-position-vertical-relative:text" stroked="f">
            <v:imagedata r:id="rId8" o:title=""/>
          </v:shape>
          <w:control r:id="rId9" w:name="Control 667" w:shapeid="_x0000_s1691"/>
        </w:pict>
      </w:r>
      <w:r>
        <w:rPr>
          <w:b/>
          <w:color w:val="000000"/>
        </w:rPr>
        <w:t>LIETUVOS RESPUBLIKOS SVEIKATOS APSAUGOS MINISTRO</w:t>
      </w:r>
    </w:p>
    <w:p w:rsidR="004905BC" w:rsidRDefault="004905BC">
      <w:pPr>
        <w:jc w:val="center"/>
        <w:rPr>
          <w:color w:val="000000"/>
        </w:rPr>
      </w:pPr>
    </w:p>
    <w:p w:rsidR="004905BC" w:rsidRDefault="00064C81">
      <w:pPr>
        <w:jc w:val="center"/>
        <w:rPr>
          <w:b/>
          <w:color w:val="000000"/>
        </w:rPr>
      </w:pPr>
      <w:r>
        <w:rPr>
          <w:b/>
          <w:color w:val="000000"/>
        </w:rPr>
        <w:t>Į S A K Y M A S</w:t>
      </w:r>
    </w:p>
    <w:p w:rsidR="004905BC" w:rsidRDefault="00064C81">
      <w:pPr>
        <w:jc w:val="center"/>
        <w:rPr>
          <w:b/>
          <w:color w:val="000000"/>
        </w:rPr>
      </w:pPr>
      <w:r>
        <w:rPr>
          <w:b/>
          <w:color w:val="000000"/>
        </w:rPr>
        <w:t>DĖL ATRANKINĖS PATIKROS DĖL GIMDOS KAKLELIO PATOLOGIJOS PROGRAMOS ATLIKIMO METODIKOS PATVIRTINIMO</w:t>
      </w:r>
    </w:p>
    <w:p w:rsidR="004905BC" w:rsidRDefault="004905BC">
      <w:pPr>
        <w:jc w:val="center"/>
        <w:rPr>
          <w:color w:val="000000"/>
        </w:rPr>
      </w:pPr>
    </w:p>
    <w:p w:rsidR="004905BC" w:rsidRDefault="00064C81">
      <w:pPr>
        <w:jc w:val="center"/>
        <w:rPr>
          <w:color w:val="000000"/>
        </w:rPr>
      </w:pPr>
      <w:r>
        <w:rPr>
          <w:color w:val="000000"/>
        </w:rPr>
        <w:t>2004 m. liepos 16 d. Nr. V-548</w:t>
      </w:r>
    </w:p>
    <w:p w:rsidR="004905BC" w:rsidRDefault="00064C81">
      <w:pPr>
        <w:jc w:val="center"/>
        <w:rPr>
          <w:color w:val="000000"/>
        </w:rPr>
      </w:pPr>
      <w:r>
        <w:rPr>
          <w:color w:val="000000"/>
        </w:rPr>
        <w:t>Vilnius</w:t>
      </w:r>
    </w:p>
    <w:p w:rsidR="004905BC" w:rsidRDefault="004905BC">
      <w:pPr>
        <w:ind w:firstLine="709"/>
        <w:jc w:val="both"/>
        <w:rPr>
          <w:color w:val="000000"/>
        </w:rPr>
      </w:pPr>
    </w:p>
    <w:p w:rsidR="004905BC" w:rsidRDefault="00064C81">
      <w:pPr>
        <w:ind w:firstLine="709"/>
        <w:jc w:val="both"/>
        <w:rPr>
          <w:color w:val="000000"/>
        </w:rPr>
      </w:pPr>
      <w:r>
        <w:rPr>
          <w:color w:val="000000"/>
          <w:szCs w:val="22"/>
        </w:rPr>
        <w:t>Įgyvendindamas V</w:t>
      </w:r>
      <w:r>
        <w:rPr>
          <w:color w:val="000000"/>
          <w:szCs w:val="22"/>
        </w:rPr>
        <w:t xml:space="preserve">alstybinę vėžio profilaktikos ir kontrolės 2003–2010 metų programą, patvirtintą Lietuvos Respublikos Vyriausybės 2003 m. gruodžio 10 d. nutarimu Nr. 1593 (Žin., 2003, Nr. </w:t>
      </w:r>
      <w:hyperlink r:id="rId10" w:tgtFrame="_blank" w:history="1">
        <w:r>
          <w:rPr>
            <w:color w:val="0000FF" w:themeColor="hyperlink"/>
            <w:szCs w:val="22"/>
            <w:u w:val="single"/>
          </w:rPr>
          <w:t>117-53</w:t>
        </w:r>
        <w:r>
          <w:rPr>
            <w:color w:val="0000FF" w:themeColor="hyperlink"/>
            <w:szCs w:val="22"/>
            <w:u w:val="single"/>
          </w:rPr>
          <w:t>48</w:t>
        </w:r>
      </w:hyperlink>
      <w:r>
        <w:rPr>
          <w:color w:val="000000"/>
          <w:szCs w:val="22"/>
        </w:rPr>
        <w:t>),</w:t>
      </w:r>
    </w:p>
    <w:p w:rsidR="004905BC" w:rsidRDefault="00064C81">
      <w:pPr>
        <w:ind w:firstLine="709"/>
        <w:jc w:val="both"/>
        <w:rPr>
          <w:color w:val="000000"/>
        </w:rPr>
      </w:pPr>
      <w:r>
        <w:rPr>
          <w:color w:val="000000"/>
          <w:spacing w:val="60"/>
          <w:szCs w:val="22"/>
        </w:rPr>
        <w:t>tvirtinu</w:t>
      </w:r>
      <w:r>
        <w:rPr>
          <w:color w:val="000000"/>
          <w:szCs w:val="22"/>
        </w:rPr>
        <w:t xml:space="preserve"> Atrankinės patikros dėl gimdos kaklelio patologijos programos atlikimo metodiką (pridedama).</w:t>
      </w:r>
    </w:p>
    <w:p w:rsidR="004905BC" w:rsidRDefault="004905BC">
      <w:pPr>
        <w:ind w:firstLine="709"/>
        <w:jc w:val="both"/>
        <w:rPr>
          <w:color w:val="000000"/>
        </w:rPr>
      </w:pPr>
    </w:p>
    <w:p w:rsidR="004905BC" w:rsidRDefault="00064C81">
      <w:pPr>
        <w:ind w:firstLine="709"/>
        <w:jc w:val="both"/>
        <w:rPr>
          <w:color w:val="000000"/>
        </w:rPr>
      </w:pPr>
    </w:p>
    <w:p w:rsidR="004905BC" w:rsidRDefault="00064C81">
      <w:pPr>
        <w:tabs>
          <w:tab w:val="right" w:pos="9639"/>
        </w:tabs>
        <w:rPr>
          <w:caps/>
        </w:rPr>
      </w:pPr>
      <w:r>
        <w:rPr>
          <w:caps/>
        </w:rPr>
        <w:t>SVEIKATOS APSAUGOS MINISTRAS</w:t>
      </w:r>
      <w:r>
        <w:rPr>
          <w:caps/>
        </w:rPr>
        <w:tab/>
        <w:t>JUOZAS OLEKAS</w:t>
      </w:r>
    </w:p>
    <w:p w:rsidR="004905BC" w:rsidRDefault="00064C81">
      <w:pPr>
        <w:jc w:val="center"/>
        <w:rPr>
          <w:color w:val="000000"/>
          <w:szCs w:val="22"/>
        </w:rPr>
      </w:pPr>
    </w:p>
    <w:p w:rsidR="00064C81" w:rsidRDefault="00064C81">
      <w:pPr>
        <w:keepNext/>
        <w:ind w:firstLine="5102"/>
        <w:rPr>
          <w:kern w:val="28"/>
        </w:rPr>
      </w:pPr>
      <w:r>
        <w:rPr>
          <w:kern w:val="28"/>
        </w:rPr>
        <w:br w:type="page"/>
      </w:r>
    </w:p>
    <w:p w:rsidR="004905BC" w:rsidRDefault="00064C81">
      <w:pPr>
        <w:keepNext/>
        <w:ind w:firstLine="5102"/>
        <w:rPr>
          <w:kern w:val="28"/>
        </w:rPr>
      </w:pPr>
      <w:r>
        <w:rPr>
          <w:kern w:val="28"/>
        </w:rPr>
        <w:lastRenderedPageBreak/>
        <w:t>PATVIRTINTA</w:t>
      </w:r>
    </w:p>
    <w:p w:rsidR="004905BC" w:rsidRDefault="00064C81">
      <w:pPr>
        <w:ind w:firstLine="5102"/>
      </w:pPr>
      <w:r>
        <w:t xml:space="preserve">Lietuvos Respublikos sveikatos apsaugos </w:t>
      </w:r>
    </w:p>
    <w:p w:rsidR="004905BC" w:rsidRDefault="00064C81">
      <w:pPr>
        <w:ind w:firstLine="5102"/>
      </w:pPr>
      <w:r>
        <w:t xml:space="preserve">ministro 2004 m. liepos 16 </w:t>
      </w:r>
      <w:r>
        <w:t xml:space="preserve">d. įsakymu </w:t>
      </w:r>
    </w:p>
    <w:p w:rsidR="004905BC" w:rsidRDefault="00064C81">
      <w:pPr>
        <w:ind w:firstLine="5102"/>
      </w:pPr>
      <w:r>
        <w:t>Nr. V-548</w:t>
      </w:r>
    </w:p>
    <w:p w:rsidR="004905BC" w:rsidRDefault="004905BC">
      <w:pPr>
        <w:ind w:firstLine="709"/>
        <w:jc w:val="both"/>
        <w:rPr>
          <w:b/>
        </w:rPr>
      </w:pPr>
    </w:p>
    <w:p w:rsidR="004905BC" w:rsidRDefault="00064C81">
      <w:pPr>
        <w:jc w:val="center"/>
        <w:rPr>
          <w:b/>
        </w:rPr>
      </w:pPr>
      <w:r>
        <w:rPr>
          <w:b/>
        </w:rPr>
        <w:t>ATRANKINĖS PATIKROS DĖL GIMDOS KAKLELIO PATOLOGIJOS PROGRAMOS ATLIKIMO METODIKA</w:t>
      </w:r>
    </w:p>
    <w:p w:rsidR="004905BC" w:rsidRDefault="004905BC">
      <w:pPr>
        <w:tabs>
          <w:tab w:val="center" w:pos="4153"/>
          <w:tab w:val="right" w:pos="8306"/>
        </w:tabs>
        <w:jc w:val="center"/>
        <w:rPr>
          <w:b/>
        </w:rPr>
      </w:pPr>
    </w:p>
    <w:p w:rsidR="004905BC" w:rsidRDefault="00064C81">
      <w:pPr>
        <w:tabs>
          <w:tab w:val="left" w:pos="284"/>
        </w:tabs>
        <w:jc w:val="center"/>
        <w:rPr>
          <w:b/>
        </w:rPr>
      </w:pPr>
      <w:r>
        <w:rPr>
          <w:b/>
        </w:rPr>
        <w:t>I</w:t>
      </w:r>
      <w:r>
        <w:rPr>
          <w:b/>
        </w:rPr>
        <w:t>.</w:t>
      </w:r>
      <w:r>
        <w:rPr>
          <w:b/>
        </w:rPr>
        <w:tab/>
      </w:r>
      <w:r>
        <w:rPr>
          <w:b/>
        </w:rPr>
        <w:t>BENDROSIOS NUOSTATOS</w:t>
      </w:r>
    </w:p>
    <w:p w:rsidR="004905BC" w:rsidRDefault="004905BC">
      <w:pPr>
        <w:jc w:val="center"/>
      </w:pPr>
    </w:p>
    <w:p w:rsidR="004905BC" w:rsidRDefault="00064C81">
      <w:pPr>
        <w:ind w:firstLine="709"/>
        <w:jc w:val="both"/>
      </w:pPr>
      <w:r>
        <w:t>1</w:t>
      </w:r>
      <w:r>
        <w:t xml:space="preserve">. Pasaulinės sveikatos organizacijos (PSO) ekspertų duomenimis efektyviai vykdant ir kontroliuojant vėžio </w:t>
      </w:r>
      <w:r>
        <w:t>profilaktiką, ankstyvą diagnostiką bei gydymą, iki 2020 m. sergamumą piktybiniais navikais galima sumažinti 25%, o mirtingumą nuo jų 50%. Daugelyje išsivysčiusių šalių vykdomos atrankinės gyventojų sveikatos patikros programos. Jos skirtos nustatyti tam ti</w:t>
      </w:r>
      <w:r>
        <w:t>krų organų ikinavikinius pokyčius ir kliniškai dar nepasireiškiančius navikus. Juos nustačius ir pašalinus, užkertamas kelias vėžiui atsirasti bei vystytis. Efektyvios atrankinės patikros programos prielaidos:</w:t>
      </w:r>
    </w:p>
    <w:p w:rsidR="004905BC" w:rsidRDefault="00064C81">
      <w:pPr>
        <w:ind w:firstLine="709"/>
        <w:jc w:val="both"/>
      </w:pPr>
      <w:r>
        <w:t>1.1</w:t>
      </w:r>
      <w:r>
        <w:t>. didelis sergamumas ir mirtingumas šalyj</w:t>
      </w:r>
      <w:r>
        <w:t>e;</w:t>
      </w:r>
    </w:p>
    <w:p w:rsidR="004905BC" w:rsidRDefault="00064C81">
      <w:pPr>
        <w:ind w:firstLine="709"/>
        <w:jc w:val="both"/>
      </w:pPr>
      <w:r>
        <w:t>1.2</w:t>
      </w:r>
      <w:r>
        <w:t>. prieinamas ir pacientui neskausmingas tyrimo metodas;</w:t>
      </w:r>
    </w:p>
    <w:p w:rsidR="004905BC" w:rsidRDefault="00064C81">
      <w:pPr>
        <w:ind w:firstLine="709"/>
        <w:jc w:val="both"/>
      </w:pPr>
      <w:r>
        <w:t>1.3</w:t>
      </w:r>
      <w:r>
        <w:t>. galimybė, nustačius ikinavikinius pokyčius, juos gydyti;</w:t>
      </w:r>
    </w:p>
    <w:p w:rsidR="004905BC" w:rsidRDefault="00064C81">
      <w:pPr>
        <w:ind w:firstLine="709"/>
        <w:jc w:val="both"/>
      </w:pPr>
      <w:r>
        <w:t>1.4</w:t>
      </w:r>
      <w:r>
        <w:t>. medicinos darbuotojų, dalyvaujančių programoje, bendradarbiavimas;</w:t>
      </w:r>
    </w:p>
    <w:p w:rsidR="004905BC" w:rsidRDefault="00064C81">
      <w:pPr>
        <w:ind w:firstLine="709"/>
        <w:jc w:val="both"/>
      </w:pPr>
      <w:r>
        <w:t>1.5</w:t>
      </w:r>
      <w:r>
        <w:t>. darbo kokybės kontrolė;</w:t>
      </w:r>
    </w:p>
    <w:p w:rsidR="004905BC" w:rsidRDefault="00064C81">
      <w:pPr>
        <w:ind w:firstLine="709"/>
        <w:jc w:val="both"/>
      </w:pPr>
      <w:r>
        <w:t>1.6</w:t>
      </w:r>
      <w:r>
        <w:t>. nuolat</w:t>
      </w:r>
      <w:r>
        <w:t>inis ir pakankamas finansavimas.</w:t>
      </w:r>
    </w:p>
    <w:p w:rsidR="004905BC" w:rsidRDefault="00064C81">
      <w:pPr>
        <w:ind w:firstLine="709"/>
        <w:jc w:val="both"/>
      </w:pPr>
      <w:r>
        <w:t>2</w:t>
      </w:r>
      <w:r>
        <w:t>. Atrankinių moterų sveikatos patikros dėl gimdos kaklelio patologijos programų nauda ir efektyvumas įrodyta įvairiose šalyse. Pvz., atrankinis moterų patikrinimas dėl gimdos kaklelio patologijos Suomijoje pradėtas v</w:t>
      </w:r>
      <w:r>
        <w:t>ykdyti daugiau kaip prieš 40 metų. Jo rezultatai akivaizdūs: Suomijos moterų sergamumas gimdos kaklelio vėžiu 4–5 kartus mažesnis nei Lietuvos moterų. Remiantis įvairių šalių patirtimi įdiegus minėtas programas sergamumą gimdos kaklelio vėžiu galima sumaži</w:t>
      </w:r>
      <w:r>
        <w:t>nti 30–70%, mirtingumą – apie 30% per 5 metus. Nustatyta, kad patikros vykdymo intensyvumas (dažnumas bei apimtis) tiesiogiai susijęs su mirtingumo nuo gimdos kaklelio vėžio mažėjimu.</w:t>
      </w:r>
    </w:p>
    <w:p w:rsidR="004905BC" w:rsidRDefault="00064C81">
      <w:pPr>
        <w:ind w:firstLine="709"/>
        <w:jc w:val="both"/>
      </w:pPr>
      <w:r>
        <w:t>3</w:t>
      </w:r>
      <w:r>
        <w:t xml:space="preserve">. Šiuo metu gimdos kaklelio vėžio patikroje naudojamas pagrindinis </w:t>
      </w:r>
      <w:r>
        <w:t xml:space="preserve">metodas – gimdos kaklelio citologinis tyrimas </w:t>
      </w:r>
      <w:r>
        <w:rPr>
          <w:i/>
        </w:rPr>
        <w:t>(Pap testas).</w:t>
      </w:r>
      <w:r>
        <w:t xml:space="preserve"> Pastaraisiais metais pasaulyje tyrinėjama ir žmogaus papilomos viruso (ŽPV) DNR testo, kaip alternatyvaus pirminio patikros metodo, panaudojimo galimybės ir efektyvumas.</w:t>
      </w:r>
    </w:p>
    <w:p w:rsidR="004905BC" w:rsidRDefault="00064C81">
      <w:pPr>
        <w:ind w:firstLine="709"/>
        <w:jc w:val="both"/>
      </w:pPr>
      <w:r>
        <w:t>4</w:t>
      </w:r>
      <w:r>
        <w:t>. Nėra vieningos nuom</w:t>
      </w:r>
      <w:r>
        <w:t>onės, kokio amžiaus moterims optimalu pradėti ir baigti patikras. Tai priklauso nuo sergamumo amžiaus grupėse, finansinių-ekonominių šalies galimybių ir pan. Daugumoje Europos Sąjungos (ES) šalių atrankinės patikros dėl gimdos kaklelio patologijos programo</w:t>
      </w:r>
      <w:r>
        <w:t>s vykdomos moterims nuo 20–30 m. iki 60–64 m. amžiaus kas 3–5 m. Vadovaujantis naujausiu ES pasiūlymu (2003 m.) rekomenduojama pradėti tikrinti moteris, sulaukusias 20 m., bet ne vyresnes kaip 30 m. Kita vertus, amžius patikrai baigti neribojamas, nors man</w:t>
      </w:r>
      <w:r>
        <w:t xml:space="preserve">oma, kad vyresnių nei 60 m. moterų patikros efektyvumas mažesnis, ypač jei toms moterims anksčiau atliktas Pap testas buvo neigiamas. Esant ribotiems finansiniams resursams PSO (2002 m.) rekomenduoja tirti 35–60 m. amžiaus moteris kas 5 ar 10 m. </w:t>
      </w:r>
    </w:p>
    <w:p w:rsidR="004905BC" w:rsidRDefault="00064C81">
      <w:pPr>
        <w:ind w:left="1" w:firstLine="709"/>
        <w:jc w:val="both"/>
      </w:pPr>
      <w:r>
        <w:t>5</w:t>
      </w:r>
      <w:r>
        <w:t>. Ši</w:t>
      </w:r>
      <w:r>
        <w:t>uo metu, dalyvaujant 19 partnerių iš 12 Europos Sąjungos šalių bei 3 šalių kandidačių, rengiamas Europos rekomendacijų dėl gimdos kaklelio vėžio patikros vykdymo projektas (</w:t>
      </w:r>
      <w:r>
        <w:rPr>
          <w:i/>
        </w:rPr>
        <w:t>www.cancer-network.de</w:t>
      </w:r>
      <w:r>
        <w:t>).</w:t>
      </w:r>
    </w:p>
    <w:p w:rsidR="004905BC" w:rsidRDefault="00064C81">
      <w:pPr>
        <w:ind w:firstLine="709"/>
        <w:jc w:val="both"/>
      </w:pPr>
    </w:p>
    <w:p w:rsidR="004905BC" w:rsidRDefault="00064C81">
      <w:pPr>
        <w:jc w:val="center"/>
        <w:rPr>
          <w:b/>
        </w:rPr>
      </w:pPr>
      <w:r>
        <w:rPr>
          <w:b/>
        </w:rPr>
        <w:t>II</w:t>
      </w:r>
      <w:r>
        <w:rPr>
          <w:b/>
        </w:rPr>
        <w:t xml:space="preserve">. </w:t>
      </w:r>
      <w:r>
        <w:rPr>
          <w:b/>
        </w:rPr>
        <w:t>GIMDOS KAKLELIO VĖŽYS LIETUVOJE IR ATRANKINĖS PA</w:t>
      </w:r>
      <w:r>
        <w:rPr>
          <w:b/>
        </w:rPr>
        <w:t>TIKROS DĖL GIMDOS KAKLELIO PATOLOGIJOS PROGRAMOS VYKDYMO AKTUALUMAS IR REIKŠMĖ</w:t>
      </w:r>
    </w:p>
    <w:p w:rsidR="004905BC" w:rsidRDefault="004905BC">
      <w:pPr>
        <w:ind w:firstLine="709"/>
        <w:jc w:val="both"/>
      </w:pPr>
    </w:p>
    <w:p w:rsidR="004905BC" w:rsidRDefault="00064C81">
      <w:pPr>
        <w:ind w:firstLine="709"/>
        <w:jc w:val="both"/>
      </w:pPr>
      <w:r>
        <w:t>6</w:t>
      </w:r>
      <w:r>
        <w:t>. Gimdos kaklelio vėžys mūsų šalyje palyginti dažnas – sergamumo struktūroje tarp moterų piktybinių navikų užima 4-ą vietą. Lietuvoje nuo 1992 m. sparčiai daugėja gimdos k</w:t>
      </w:r>
      <w:r>
        <w:t>aklelio vėžio – 2002 m. buvo registruoti 468 šios ligos atvejai. Didelis sergamumas (25,3 atv./100 000) ir vėlyva ligos diagnostika (44</w:t>
      </w:r>
      <w:r>
        <w:sym w:font="Symbol" w:char="0025"/>
      </w:r>
      <w:r>
        <w:t xml:space="preserve"> atvejų diagnozuota III–IV stadijos) lemia dideles išlaidas šiai vėžio formai gydyti. Mirtingumas dėl gimdos kaklelio vė</w:t>
      </w:r>
      <w:r>
        <w:t>žio Lietuvoje 2000 m. duomenimis vienas iš didžiausių Europoje. Nepalanki epidemiologinė situacija skatina kuo skubiau diegti gimdos kaklelio patologijos atrankinės patikros programą.</w:t>
      </w:r>
    </w:p>
    <w:p w:rsidR="004905BC" w:rsidRDefault="00064C81">
      <w:pPr>
        <w:ind w:firstLine="709"/>
        <w:jc w:val="both"/>
      </w:pPr>
      <w:r>
        <w:t>7</w:t>
      </w:r>
      <w:r>
        <w:t>. Gimdos kaklelio patologijos atrankinės patikros programos tikslas</w:t>
      </w:r>
      <w:r>
        <w:t xml:space="preserve"> – sumažinti sergamumą gimdos kaklelio vėžiu ir mirtingumą nuo jo.</w:t>
      </w:r>
    </w:p>
    <w:p w:rsidR="004905BC" w:rsidRDefault="00064C81">
      <w:pPr>
        <w:ind w:firstLine="709"/>
        <w:jc w:val="both"/>
      </w:pPr>
      <w:r>
        <w:t>8</w:t>
      </w:r>
      <w:r>
        <w:t>. Gimdos kaklelio ikinavikinę patologiją galima nesunkiai diagnozuoti ir išgydyti. Nustatyta, kad ikivėžiniai pokyčiai aptinkami 5 kartus dažniau nei gimdos kaklelio vėžys. Remiantis 2</w:t>
      </w:r>
      <w:r>
        <w:t>002 m. Valstybinio patologijos centro (VPC) duomenimis (nesant organizuotos patikros), ikinavikinė patologija (CIS/CIN/SIL) dažniau nustatyta jaunesnėms moterims, t. y. iki 35 m. amžiaus – 34,1</w:t>
      </w:r>
      <w:r>
        <w:sym w:font="Symbol" w:char="0025"/>
      </w:r>
      <w:r>
        <w:t>, 35–49 m. – 46,2</w:t>
      </w:r>
      <w:r>
        <w:sym w:font="Symbol" w:char="0025"/>
      </w:r>
      <w:r>
        <w:t xml:space="preserve">. </w:t>
      </w:r>
    </w:p>
    <w:p w:rsidR="004905BC" w:rsidRDefault="00064C81">
      <w:pPr>
        <w:ind w:firstLine="709"/>
        <w:jc w:val="both"/>
      </w:pPr>
      <w:r>
        <w:t>9</w:t>
      </w:r>
      <w:r>
        <w:t>. Lietuvos vėžio registro duomenimis</w:t>
      </w:r>
      <w:r>
        <w:t xml:space="preserve"> (2002 m.), gimdos kaklelio vėžys nustatytas moterims iki 35 m. – 8,8%, 35–49 m. – 36,1%, 50–64 m. – 29,7%, 65–74 m. – 13,9%.</w:t>
      </w:r>
    </w:p>
    <w:p w:rsidR="004905BC" w:rsidRDefault="00064C81">
      <w:pPr>
        <w:ind w:firstLine="709"/>
        <w:jc w:val="both"/>
      </w:pPr>
      <w:r>
        <w:t>10</w:t>
      </w:r>
      <w:r>
        <w:t>. Atsižvelgiant į esamą situaciją bei ES rekomendacijas, Lietuvoje siūloma vykdyti gimdos kaklelio patologijos atrankinę pat</w:t>
      </w:r>
      <w:r>
        <w:t>ikrą 30–60 m. amžiaus moterims kas 3 m. Šalyje, remiantis gyventojų surašymo 2001 m. duomenimis (Statistikos departamentas prie Lietuvos Respublikos Vyriausybės), buvo 1 854 824 moterys, iš jų 30–59 m. amžiaus – 730 088 (39,96%).</w:t>
      </w:r>
    </w:p>
    <w:p w:rsidR="004905BC" w:rsidRDefault="00064C81">
      <w:pPr>
        <w:ind w:firstLine="709"/>
        <w:jc w:val="both"/>
      </w:pPr>
    </w:p>
    <w:p w:rsidR="004905BC" w:rsidRDefault="00064C81">
      <w:pPr>
        <w:jc w:val="center"/>
        <w:rPr>
          <w:b/>
        </w:rPr>
      </w:pPr>
      <w:r>
        <w:rPr>
          <w:b/>
        </w:rPr>
        <w:t>III</w:t>
      </w:r>
      <w:r>
        <w:rPr>
          <w:b/>
        </w:rPr>
        <w:t xml:space="preserve">. </w:t>
      </w:r>
      <w:r>
        <w:rPr>
          <w:b/>
        </w:rPr>
        <w:t>ATRANKINĖS PAT</w:t>
      </w:r>
      <w:r>
        <w:rPr>
          <w:b/>
        </w:rPr>
        <w:t>IKROS DĖL GIMDOS KAKLELIO PATOLOGIJOS PROGRAMOS ORGANIZAVIMAS IR KOORDINAVIMAS</w:t>
      </w:r>
    </w:p>
    <w:p w:rsidR="004905BC" w:rsidRDefault="004905BC">
      <w:pPr>
        <w:ind w:firstLine="709"/>
      </w:pPr>
    </w:p>
    <w:p w:rsidR="004905BC" w:rsidRDefault="00064C81">
      <w:pPr>
        <w:ind w:firstLine="709"/>
        <w:jc w:val="both"/>
      </w:pPr>
      <w:r>
        <w:t>11</w:t>
      </w:r>
      <w:r>
        <w:t>. Organizuotoje patikros programoje dalyvauja:</w:t>
      </w:r>
    </w:p>
    <w:p w:rsidR="004905BC" w:rsidRDefault="00064C81">
      <w:pPr>
        <w:ind w:firstLine="709"/>
        <w:jc w:val="both"/>
        <w:rPr>
          <w:b/>
        </w:rPr>
      </w:pPr>
      <w:r>
        <w:t>11.1</w:t>
      </w:r>
      <w:r>
        <w:t xml:space="preserve">. pirminės asmens sveikatos priežiūros įstaigų (PASPĮ) bendrosios praktikos gydytojai (BPG), akušeriai-ginekologai </w:t>
      </w:r>
      <w:r>
        <w:t>ir/ar akušerės, bendrosios praktikos slaugytojos;</w:t>
      </w:r>
    </w:p>
    <w:p w:rsidR="004905BC" w:rsidRDefault="00064C81">
      <w:pPr>
        <w:ind w:firstLine="709"/>
        <w:jc w:val="both"/>
      </w:pPr>
      <w:r>
        <w:t>11.1.1</w:t>
      </w:r>
      <w:r>
        <w:t>. apmokyti gydytojai apžiūri moterį kliniškai ir paima Pap tepinėlį;</w:t>
      </w:r>
    </w:p>
    <w:p w:rsidR="004905BC" w:rsidRDefault="00064C81">
      <w:pPr>
        <w:ind w:firstLine="709"/>
        <w:jc w:val="both"/>
      </w:pPr>
      <w:r>
        <w:t>11.1.2</w:t>
      </w:r>
      <w:r>
        <w:t xml:space="preserve">. BPG suteikia moterims informaciją apie patikrą, žino tepinėlio paėmimo datą ir rezultatą, reikiamu laiku nurodo kito </w:t>
      </w:r>
      <w:r>
        <w:t>tepinėlio paėmimo terminą. Kadangi mirtingumo rodiklis yra vienas iš svarbių kriterijų įvertinti patikros efektyvumą, BPG išrašomuose mirties liudijimuose turi tiksliau nurodyti mirties priežastis (endometriumo ar gimdos kaklelio vėžys);</w:t>
      </w:r>
    </w:p>
    <w:p w:rsidR="004905BC" w:rsidRDefault="00064C81">
      <w:pPr>
        <w:tabs>
          <w:tab w:val="num" w:pos="450"/>
        </w:tabs>
        <w:ind w:firstLine="709"/>
        <w:jc w:val="both"/>
      </w:pPr>
      <w:r>
        <w:t>11.2</w:t>
      </w:r>
      <w:r>
        <w:t>. patolo</w:t>
      </w:r>
      <w:r>
        <w:t>gijos skyrių patologai, citotechnologai. Gimdos kaklelio citologiniai tyrimai (Pap testas) atliekami įstaigose, kurios turi licenciją patologijos tyrimų veiklai ir atitinka patologijos tyrimų kokybės reikalavimus (Lietuvos Respublikos sveikatos apsaugos mi</w:t>
      </w:r>
      <w:r>
        <w:t xml:space="preserve">nistro 2000 m. lapkričio 9 d. įsakymas Nr. 631 „Dėl patologijos tyrimų kokybės reikalavimų tvirtinimo“ (Žin., 2000, Nr. </w:t>
      </w:r>
      <w:hyperlink r:id="rId11" w:tgtFrame="_blank" w:history="1">
        <w:r>
          <w:rPr>
            <w:color w:val="0000FF" w:themeColor="hyperlink"/>
            <w:u w:val="single"/>
          </w:rPr>
          <w:t>100-3189</w:t>
        </w:r>
      </w:hyperlink>
      <w:r>
        <w:t>);</w:t>
      </w:r>
    </w:p>
    <w:p w:rsidR="004905BC" w:rsidRDefault="00064C81">
      <w:pPr>
        <w:tabs>
          <w:tab w:val="num" w:pos="450"/>
        </w:tabs>
        <w:ind w:firstLine="709"/>
        <w:jc w:val="both"/>
      </w:pPr>
      <w:r>
        <w:t>11.3</w:t>
      </w:r>
      <w:r>
        <w:t>. asmens sveikatos priežiūros įstaigos</w:t>
      </w:r>
      <w:r>
        <w:t>, kuriose gydomos pacientės, esant nustatytai patologijai. Patikra nebus efektyvi, jei moterims, kurioms nustatyti citologiniai pakitimai, nebus laiku teikiamos kokybiškos asmens sveikatos priežiūros paslaugos.</w:t>
      </w:r>
    </w:p>
    <w:p w:rsidR="004905BC" w:rsidRDefault="00064C81">
      <w:pPr>
        <w:tabs>
          <w:tab w:val="num" w:pos="360"/>
        </w:tabs>
        <w:ind w:firstLine="709"/>
        <w:jc w:val="both"/>
      </w:pPr>
      <w:r>
        <w:t>12</w:t>
      </w:r>
      <w:r>
        <w:t>. Programa koordinuojama ir kontroliu</w:t>
      </w:r>
      <w:r>
        <w:t xml:space="preserve">ojama nacionaliniu lygmeniu. </w:t>
      </w:r>
    </w:p>
    <w:p w:rsidR="004905BC" w:rsidRDefault="00064C81">
      <w:pPr>
        <w:tabs>
          <w:tab w:val="num" w:pos="360"/>
        </w:tabs>
        <w:ind w:firstLine="709"/>
        <w:jc w:val="both"/>
      </w:pPr>
      <w:r>
        <w:t>12.1</w:t>
      </w:r>
      <w:r>
        <w:t>. Programą koordinuoja programos koordinavimo komitetas, kurio sudėtį bei veiklos nuostatus sveikatos apsaugos ministras patvirtina įsakymu. Komitetas sudaromas iš sveikatos priežiūros organizatorių, apskričių bei saviva</w:t>
      </w:r>
      <w:r>
        <w:t>ldybių gydytojų, akušerių ginekologų, bendrosios praktikos gydytojų, onkologų, epidemiologų.</w:t>
      </w:r>
    </w:p>
    <w:p w:rsidR="004905BC" w:rsidRDefault="00064C81">
      <w:pPr>
        <w:tabs>
          <w:tab w:val="num" w:pos="360"/>
        </w:tabs>
        <w:ind w:firstLine="709"/>
        <w:jc w:val="both"/>
      </w:pPr>
      <w:r>
        <w:t>12.2</w:t>
      </w:r>
      <w:r>
        <w:t>. Programos vykdymą kontroliuoja kokybės kontrolės grupė, kurios sudėtis tvirtinama sveikatos apsaugos ministro įsakymu. Grupės veikloje dalyvauja po vieną</w:t>
      </w:r>
      <w:r>
        <w:t xml:space="preserve"> – du atstovus iš Sveikatos apsaugos ministerijos (SAM), Kauno medicinos universiteto (KMU), Vilniaus universiteto Onkologijos instituto (VUOI), Vilniaus universiteto Medicinos fakulteto (VU MF), Valstybinio patologijos centro (VPC), VUOI Vėžio registro (V</w:t>
      </w:r>
      <w:r>
        <w:t xml:space="preserve">R). </w:t>
      </w:r>
    </w:p>
    <w:p w:rsidR="004905BC" w:rsidRDefault="00064C81">
      <w:pPr>
        <w:tabs>
          <w:tab w:val="num" w:pos="360"/>
        </w:tabs>
        <w:ind w:firstLine="709"/>
        <w:jc w:val="both"/>
      </w:pPr>
      <w:r>
        <w:t>13</w:t>
      </w:r>
      <w:r>
        <w:t>. Patikros veiklos apimtis.</w:t>
      </w:r>
    </w:p>
    <w:p w:rsidR="004905BC" w:rsidRDefault="00064C81">
      <w:pPr>
        <w:ind w:firstLine="709"/>
        <w:jc w:val="both"/>
      </w:pPr>
      <w:r>
        <w:t>13.1</w:t>
      </w:r>
      <w:r>
        <w:t>. Visos 30–60 m. amžiaus moterys turi būti informuotos apie gimdos kaklelio patologijos atrankinės patikros programos svarbą.</w:t>
      </w:r>
    </w:p>
    <w:p w:rsidR="004905BC" w:rsidRDefault="00064C81">
      <w:pPr>
        <w:ind w:firstLine="709"/>
        <w:jc w:val="both"/>
      </w:pPr>
      <w:r>
        <w:t>13.2</w:t>
      </w:r>
      <w:r>
        <w:t>. Daugiau kaip 80</w:t>
      </w:r>
      <w:r>
        <w:sym w:font="Symbol" w:char="0025"/>
      </w:r>
      <w:r>
        <w:t xml:space="preserve"> pirminės sveikatos priežiūros grandies gydytojų turėtų b</w:t>
      </w:r>
      <w:r>
        <w:t>ūti apmokyti paimti gimdos kaklelio citologinį tepinėlį.</w:t>
      </w:r>
    </w:p>
    <w:p w:rsidR="004905BC" w:rsidRDefault="00064C81">
      <w:pPr>
        <w:tabs>
          <w:tab w:val="num" w:pos="360"/>
        </w:tabs>
        <w:ind w:firstLine="709"/>
        <w:jc w:val="both"/>
      </w:pPr>
      <w:r>
        <w:t>14</w:t>
      </w:r>
      <w:r>
        <w:t>. Patikros poveikio apimtis. Programoje turėtų dalyvauti daugiau kaip 80</w:t>
      </w:r>
      <w:r>
        <w:sym w:font="Symbol" w:char="0025"/>
      </w:r>
      <w:r>
        <w:t xml:space="preserve"> 30–60 m. amžiaus moterų.</w:t>
      </w:r>
    </w:p>
    <w:p w:rsidR="004905BC" w:rsidRDefault="00064C81">
      <w:pPr>
        <w:ind w:firstLine="709"/>
      </w:pPr>
    </w:p>
    <w:p w:rsidR="004905BC" w:rsidRDefault="00064C81">
      <w:pPr>
        <w:jc w:val="center"/>
        <w:rPr>
          <w:b/>
          <w:szCs w:val="16"/>
        </w:rPr>
      </w:pPr>
      <w:r>
        <w:rPr>
          <w:b/>
          <w:szCs w:val="16"/>
        </w:rPr>
        <w:t>IV</w:t>
      </w:r>
      <w:r>
        <w:rPr>
          <w:b/>
          <w:szCs w:val="16"/>
        </w:rPr>
        <w:t xml:space="preserve">. </w:t>
      </w:r>
      <w:r>
        <w:rPr>
          <w:b/>
          <w:szCs w:val="16"/>
        </w:rPr>
        <w:t>ATRANKINĖS PATIKROS DĖL GIMDOS KAKLELIO PATOLOGIJOS PROGRAMOS DIEGIMAS</w:t>
      </w:r>
    </w:p>
    <w:p w:rsidR="004905BC" w:rsidRDefault="004905BC">
      <w:pPr>
        <w:ind w:firstLine="709"/>
        <w:rPr>
          <w:b/>
        </w:rPr>
      </w:pPr>
    </w:p>
    <w:p w:rsidR="004905BC" w:rsidRDefault="00064C81">
      <w:pPr>
        <w:ind w:firstLine="709"/>
        <w:jc w:val="both"/>
      </w:pPr>
      <w:r>
        <w:t>15</w:t>
      </w:r>
      <w:r>
        <w:t xml:space="preserve">. </w:t>
      </w:r>
      <w:r>
        <w:t>Identifikuojama tiriamoji populiacija. Priėmus sprendimą dėl organizuotos patikros vykdymo, PSPC pagal gyventojų prisirašymo duomenis sudaro 30–60 m. amžiaus moterų kompiuterizuotą sąrašą, kuris naudojamas programos vykdymo laikotarpiu ir tikslinamas kiekv</w:t>
      </w:r>
      <w:r>
        <w:t>ienais metais (išbraukiant išvykusias/mirusias ir įrašant naujai atvykusias, t. y. naujai prisirašiusias).</w:t>
      </w:r>
    </w:p>
    <w:p w:rsidR="004905BC" w:rsidRDefault="00064C81">
      <w:pPr>
        <w:ind w:firstLine="709"/>
        <w:jc w:val="both"/>
      </w:pPr>
      <w:r>
        <w:t>16</w:t>
      </w:r>
      <w:r>
        <w:t>. Sudaryti sąrašai išsiunčiami įstaigai (akredituotam patologijos skyriui, turinčiam citologinę ir histologinę laboratorijas), kurioje bus tiri</w:t>
      </w:r>
      <w:r>
        <w:t>ami tepinėliai (pvz., VPC), bei įstaigai, kurioje bus apibendrinami rezultatai (Vėžio registrui).</w:t>
      </w:r>
    </w:p>
    <w:p w:rsidR="004905BC" w:rsidRDefault="00064C81">
      <w:pPr>
        <w:ind w:firstLine="709"/>
        <w:jc w:val="both"/>
      </w:pPr>
      <w:r>
        <w:t>17</w:t>
      </w:r>
      <w:r>
        <w:t>. Reguliariai aiškinama patikrų reikšmė ir nauda per žiniasklaidą, visuomenines moterų organizacijas ir pan. Tiksli ir aiški informacija apie patikros v</w:t>
      </w:r>
      <w:r>
        <w:t>eiksmų eigą taip pat labai svarbi siekiant sumažinti negatyvų psichologinį poveikį, kurį patiria daugelis moterų esant patologiniams citologiniams radiniams. Už informacijos pateikimą atsakingas programos koordinavimo komitetas bei programą vykdančios inst</w:t>
      </w:r>
      <w:r>
        <w:t>itucijos.</w:t>
      </w:r>
    </w:p>
    <w:p w:rsidR="004905BC" w:rsidRDefault="00064C81">
      <w:pPr>
        <w:ind w:firstLine="709"/>
        <w:jc w:val="both"/>
      </w:pPr>
      <w:r>
        <w:t>18</w:t>
      </w:r>
      <w:r>
        <w:t xml:space="preserve">. Siekiant užtikrinti numatyto tiriamojo kontingento aktyvų dalyvavimą programoje, paruošiami individualūs kvietimai. </w:t>
      </w:r>
    </w:p>
    <w:p w:rsidR="004905BC" w:rsidRDefault="00064C81">
      <w:pPr>
        <w:ind w:firstLine="709"/>
        <w:jc w:val="both"/>
      </w:pPr>
      <w:r>
        <w:t>19</w:t>
      </w:r>
      <w:r>
        <w:t xml:space="preserve">. Kvietimo būdai: personaliai raštu ar žodžiu, bendri pranešimai. Efektyvesni – individualūs kvietimai, pasirašyti </w:t>
      </w:r>
      <w:r>
        <w:t>gydytojo, prie kurio pacientė yra prisirašiusi.</w:t>
      </w:r>
    </w:p>
    <w:p w:rsidR="004905BC" w:rsidRDefault="00064C81">
      <w:pPr>
        <w:ind w:firstLine="709"/>
        <w:jc w:val="both"/>
      </w:pPr>
      <w:r>
        <w:t>20</w:t>
      </w:r>
      <w:r>
        <w:t>. Kvietimo schema: 30–60 m. moterys kviečiamos pasitikrinti ir atlikti gimdos kaklelio citologinį tepinėlį kas 3 m.</w:t>
      </w:r>
    </w:p>
    <w:p w:rsidR="004905BC" w:rsidRDefault="00064C81">
      <w:pPr>
        <w:ind w:firstLine="709"/>
        <w:jc w:val="both"/>
      </w:pPr>
      <w:r>
        <w:t>21</w:t>
      </w:r>
      <w:r>
        <w:t>. Moterims, kurioms buvo atlikta histerektomija (ir gimdos kaklelio pašalinimas)</w:t>
      </w:r>
      <w:r>
        <w:t>, nereikia atlikti patikros tyrimų (citologinio testo), išskyrus tuos atvejus, kai operacija atlikta dėl gimdos kaklelio vėžio ar ikinavikinės displazinės patologijos.</w:t>
      </w:r>
    </w:p>
    <w:p w:rsidR="004905BC" w:rsidRDefault="00064C81">
      <w:pPr>
        <w:ind w:firstLine="709"/>
        <w:jc w:val="both"/>
      </w:pPr>
      <w:r>
        <w:t>22</w:t>
      </w:r>
      <w:r>
        <w:t xml:space="preserve">. Programos vykdymo pradžioje PASPĮ gydytojai apmokomi paimti ir paruošti Pap </w:t>
      </w:r>
      <w:r>
        <w:t>tepinėlį. Jie dalyvauja gimdos kaklelio patologijos temai skirtuose seminaruose ir tobulinimosi kursuose.</w:t>
      </w:r>
    </w:p>
    <w:p w:rsidR="004905BC" w:rsidRDefault="00064C81">
      <w:pPr>
        <w:ind w:firstLine="709"/>
        <w:jc w:val="both"/>
      </w:pPr>
    </w:p>
    <w:p w:rsidR="004905BC" w:rsidRDefault="00064C81">
      <w:pPr>
        <w:jc w:val="center"/>
        <w:rPr>
          <w:b/>
        </w:rPr>
      </w:pPr>
      <w:r>
        <w:rPr>
          <w:b/>
        </w:rPr>
        <w:t>V</w:t>
      </w:r>
      <w:r>
        <w:rPr>
          <w:b/>
        </w:rPr>
        <w:t xml:space="preserve">. </w:t>
      </w:r>
      <w:r>
        <w:rPr>
          <w:b/>
        </w:rPr>
        <w:t>PATIKROS TESTAS (GIMDOS KAKLELIO/MAKŠTIES CITOLOGINIS PAP TESTAS)</w:t>
      </w:r>
    </w:p>
    <w:p w:rsidR="004905BC" w:rsidRDefault="00064C81">
      <w:pPr>
        <w:ind w:firstLine="709"/>
      </w:pPr>
      <w:r>
        <w:t>23</w:t>
      </w:r>
      <w:r>
        <w:t>. Pasirengimas imti tepinėlį:</w:t>
      </w:r>
    </w:p>
    <w:p w:rsidR="004905BC" w:rsidRDefault="00064C81">
      <w:pPr>
        <w:ind w:firstLine="709"/>
      </w:pPr>
      <w:r>
        <w:t>23.1</w:t>
      </w:r>
      <w:r>
        <w:t>. Įvertinama gimdos kaklelio for</w:t>
      </w:r>
      <w:r>
        <w:t xml:space="preserve">ma ir transformacijos zonos lokalizacija. </w:t>
      </w:r>
    </w:p>
    <w:p w:rsidR="004905BC" w:rsidRDefault="00064C81">
      <w:pPr>
        <w:ind w:firstLine="709"/>
      </w:pPr>
      <w:r>
        <w:t>23.2</w:t>
      </w:r>
      <w:r>
        <w:t>. Būtina nepamiršti, kad:</w:t>
      </w:r>
    </w:p>
    <w:p w:rsidR="004905BC" w:rsidRDefault="00064C81">
      <w:pPr>
        <w:ind w:firstLine="709"/>
        <w:jc w:val="both"/>
      </w:pPr>
      <w:r>
        <w:t>23.2.1</w:t>
      </w:r>
      <w:r>
        <w:t xml:space="preserve">. tinkamiausias laikas paimti Pap tepinėlį yra 10–20 menstruacinio ciklo diena. Pap tepinėlis neimamas menstruacijų metu; </w:t>
      </w:r>
    </w:p>
    <w:p w:rsidR="004905BC" w:rsidRDefault="00064C81">
      <w:pPr>
        <w:ind w:firstLine="709"/>
        <w:jc w:val="both"/>
      </w:pPr>
      <w:r>
        <w:t>23.2.2</w:t>
      </w:r>
      <w:r>
        <w:t>. 24 val. prieš Pap testą moteris netu</w:t>
      </w:r>
      <w:r>
        <w:t>ri naudoti tamponų, intravagininių preparatų, vengti lytinių santykių ir neplauti makšties;</w:t>
      </w:r>
    </w:p>
    <w:p w:rsidR="004905BC" w:rsidRDefault="00064C81">
      <w:pPr>
        <w:ind w:firstLine="709"/>
        <w:jc w:val="both"/>
      </w:pPr>
      <w:r>
        <w:t>23.2.3</w:t>
      </w:r>
      <w:r>
        <w:t xml:space="preserve">. tyrimo metu gimdos kaklelio negalima plauti fiziologiniu tirpalu, nes bus gautas mažai ląstelių turintis preparatas. Taip pat tyrimo metu reikia vengti </w:t>
      </w:r>
      <w:r>
        <w:t>ir lubrikantų;</w:t>
      </w:r>
    </w:p>
    <w:p w:rsidR="004905BC" w:rsidRDefault="00064C81">
      <w:pPr>
        <w:ind w:firstLine="709"/>
        <w:jc w:val="both"/>
      </w:pPr>
      <w:r>
        <w:t>23.2.4</w:t>
      </w:r>
      <w:r>
        <w:t>. tamponas tyrimo metu uždedamas ant gimdos kaklelio paviršiaus, nuimamas – kai absorbuos paviršinį eksudatą;</w:t>
      </w:r>
    </w:p>
    <w:p w:rsidR="004905BC" w:rsidRDefault="00064C81">
      <w:pPr>
        <w:ind w:firstLine="709"/>
        <w:jc w:val="both"/>
      </w:pPr>
      <w:r>
        <w:t>23.2.5</w:t>
      </w:r>
      <w:r>
        <w:t>. naudojant mentelę rekomenduojama nesukti jos gimdos kaklelio paviršiumi daugiau nei vieną kartą – reikiamam m</w:t>
      </w:r>
      <w:r>
        <w:t>edžiagos kiekiui paimti pakanka vieno sukamojo judesio;</w:t>
      </w:r>
    </w:p>
    <w:p w:rsidR="004905BC" w:rsidRDefault="00064C81">
      <w:pPr>
        <w:ind w:firstLine="709"/>
        <w:jc w:val="both"/>
      </w:pPr>
      <w:r>
        <w:t>23.2.6</w:t>
      </w:r>
      <w:r>
        <w:t>. šepetėlį rekomenduojama sukti tik 1/4 arba 1/2 gimdos kaklelio kanalo paviršiaus;</w:t>
      </w:r>
    </w:p>
    <w:p w:rsidR="004905BC" w:rsidRDefault="00064C81">
      <w:pPr>
        <w:ind w:firstLine="709"/>
        <w:jc w:val="both"/>
      </w:pPr>
      <w:r>
        <w:t>23.2.7</w:t>
      </w:r>
      <w:r>
        <w:t>. kad tepinėlis nebūtų kraujingas, iš pradžių naudojama mentelė, o vėliau šepetėlis.</w:t>
      </w:r>
    </w:p>
    <w:p w:rsidR="004905BC" w:rsidRDefault="00064C81">
      <w:pPr>
        <w:ind w:firstLine="709"/>
      </w:pPr>
      <w:r>
        <w:t>23.3</w:t>
      </w:r>
      <w:r>
        <w:t>.</w:t>
      </w:r>
      <w:r>
        <w:t xml:space="preserve"> Medžiagai paimti pasirenkami tinkami instrumentai. Pasirenkama pagal gimdos kaklelio formą ir transformacijos zonos aukštį, taip pat matomus gimdos kaklelio patologinius pakitimus.</w:t>
      </w:r>
    </w:p>
    <w:p w:rsidR="004905BC" w:rsidRDefault="00064C81">
      <w:pPr>
        <w:tabs>
          <w:tab w:val="left" w:pos="709"/>
        </w:tabs>
        <w:ind w:firstLine="709"/>
        <w:jc w:val="both"/>
      </w:pPr>
      <w:r>
        <w:t>23.3.1</w:t>
      </w:r>
      <w:r>
        <w:t>. Šluotelė. Šis instrumentas rekomenduojamas klimakterinio amžiaus</w:t>
      </w:r>
      <w:r>
        <w:t xml:space="preserve"> moterims, esant aukštai transformacijos zonos padėčiai, bei moterims, kurių gimdos kaklelis intaktiškas. Naudojant šį būdą, vienu metu paimama egzocervikalinės ir endocervikalinės srities ląstelių.</w:t>
      </w:r>
    </w:p>
    <w:p w:rsidR="004905BC" w:rsidRDefault="00064C81">
      <w:pPr>
        <w:tabs>
          <w:tab w:val="left" w:pos="709"/>
        </w:tabs>
        <w:ind w:firstLine="709"/>
        <w:jc w:val="both"/>
      </w:pPr>
      <w:r>
        <w:t>23.3.2</w:t>
      </w:r>
      <w:r>
        <w:t>. Mentelė ir šepetėlis. Naudojant šį metodą, at</w:t>
      </w:r>
      <w:r>
        <w:t>skirai paimama egzocervikalinės bei endocervikalinės srities medžiagos. Mentelė ir šepetėlis rekomenduojami, kai gimdos kaklelis yra intaktiškas ir transformacijos zona yra aukštai. Rekomenduojama naudoti menteles įgaubtu paviršiumi. Šepetėlio nerekomenduo</w:t>
      </w:r>
      <w:r>
        <w:t>jama naudoti nėštumo metu.</w:t>
      </w:r>
    </w:p>
    <w:p w:rsidR="004905BC" w:rsidRDefault="00064C81">
      <w:pPr>
        <w:ind w:firstLine="709"/>
      </w:pPr>
      <w:r>
        <w:t>24</w:t>
      </w:r>
      <w:r>
        <w:t>. Paimdami medžiagą ir siųsdami ją tyrimui medikai privalo laikytis instrukcijų:</w:t>
      </w:r>
    </w:p>
    <w:p w:rsidR="004905BC" w:rsidRDefault="00064C81">
      <w:pPr>
        <w:ind w:firstLine="709"/>
        <w:jc w:val="both"/>
        <w:rPr>
          <w:spacing w:val="-10"/>
        </w:rPr>
      </w:pPr>
      <w:r>
        <w:rPr>
          <w:spacing w:val="-10"/>
        </w:rPr>
        <w:t>24.1</w:t>
      </w:r>
      <w:r>
        <w:rPr>
          <w:spacing w:val="-10"/>
        </w:rPr>
        <w:t>. Užpildyti siuntimo tirti blanką (SAM Forma Nr. 014-1/a, 2000-01-10), kuriame labai svarbu pažymėti:</w:t>
      </w:r>
    </w:p>
    <w:p w:rsidR="004905BC" w:rsidRDefault="00064C81">
      <w:pPr>
        <w:ind w:firstLine="709"/>
        <w:jc w:val="both"/>
      </w:pPr>
      <w:r>
        <w:t>24.1.1</w:t>
      </w:r>
      <w:r>
        <w:t>. vardą, pavardę, asme</w:t>
      </w:r>
      <w:r>
        <w:t>ns kodą, gimimo datą;</w:t>
      </w:r>
    </w:p>
    <w:p w:rsidR="004905BC" w:rsidRDefault="00064C81">
      <w:pPr>
        <w:ind w:firstLine="709"/>
        <w:jc w:val="both"/>
      </w:pPr>
      <w:r>
        <w:t>24.1.2</w:t>
      </w:r>
      <w:r>
        <w:t>. paskutinių menstruacijų datą arba klimakterinio periodo laikotarpį;</w:t>
      </w:r>
    </w:p>
    <w:p w:rsidR="004905BC" w:rsidRDefault="00064C81">
      <w:pPr>
        <w:ind w:firstLine="709"/>
        <w:jc w:val="both"/>
      </w:pPr>
      <w:r>
        <w:t>24.1.3</w:t>
      </w:r>
      <w:r>
        <w:t>. ar pacientė vartoja hormoninius preparatus bei kontraceptines priemones;</w:t>
      </w:r>
    </w:p>
    <w:p w:rsidR="004905BC" w:rsidRDefault="00064C81">
      <w:pPr>
        <w:ind w:firstLine="709"/>
        <w:jc w:val="both"/>
      </w:pPr>
      <w:r>
        <w:t>24.1.4</w:t>
      </w:r>
      <w:r>
        <w:t>. anksčiau atliktus morfologinius tyrimus;</w:t>
      </w:r>
    </w:p>
    <w:p w:rsidR="004905BC" w:rsidRDefault="00064C81">
      <w:pPr>
        <w:ind w:firstLine="709"/>
        <w:jc w:val="both"/>
      </w:pPr>
      <w:r>
        <w:t>24.1.5</w:t>
      </w:r>
      <w:r>
        <w:t>. taik</w:t>
      </w:r>
      <w:r>
        <w:t>ytą spindulinę terapiją ar chemoterapiją;</w:t>
      </w:r>
    </w:p>
    <w:p w:rsidR="004905BC" w:rsidRDefault="00064C81">
      <w:pPr>
        <w:ind w:firstLine="709"/>
        <w:jc w:val="both"/>
      </w:pPr>
      <w:r>
        <w:t>24.1.6</w:t>
      </w:r>
      <w:r>
        <w:t>. makroskopinius gimdos kaklelio pokyčius;</w:t>
      </w:r>
    </w:p>
    <w:p w:rsidR="004905BC" w:rsidRDefault="00064C81">
      <w:pPr>
        <w:ind w:firstLine="709"/>
        <w:jc w:val="both"/>
      </w:pPr>
      <w:r>
        <w:t>24.1.7</w:t>
      </w:r>
      <w:r>
        <w:t>. klinikinę išvadą;</w:t>
      </w:r>
    </w:p>
    <w:p w:rsidR="004905BC" w:rsidRDefault="00064C81">
      <w:pPr>
        <w:ind w:firstLine="709"/>
        <w:jc w:val="both"/>
      </w:pPr>
      <w:r>
        <w:t>24.1.8</w:t>
      </w:r>
      <w:r>
        <w:t>. jei moteriai buvo anksčiau atlikti – ŽPV tyrimo rezultatus;</w:t>
      </w:r>
    </w:p>
    <w:p w:rsidR="004905BC" w:rsidRDefault="00064C81">
      <w:pPr>
        <w:ind w:firstLine="709"/>
        <w:jc w:val="both"/>
      </w:pPr>
      <w:r>
        <w:t>24.1.9</w:t>
      </w:r>
      <w:r>
        <w:t>. tepinėlio fiksacijai naudojamą medžiagą.</w:t>
      </w:r>
    </w:p>
    <w:p w:rsidR="004905BC" w:rsidRDefault="00064C81">
      <w:pPr>
        <w:ind w:firstLine="709"/>
      </w:pPr>
      <w:r>
        <w:t>24.2</w:t>
      </w:r>
      <w:r>
        <w:t xml:space="preserve">. Paženklinti objektinį stiklelį. Šlifuotoje stiklelio dalyje paprastu pieštuku užrašyti ligonio vardą ir pavardę. </w:t>
      </w:r>
    </w:p>
    <w:p w:rsidR="004905BC" w:rsidRDefault="00064C81">
      <w:pPr>
        <w:ind w:firstLine="709"/>
      </w:pPr>
      <w:r>
        <w:t>24.3</w:t>
      </w:r>
      <w:r>
        <w:t>. Įvertinti gimdos kaklelio formą ir transformacijos zonos lokalizaciją.</w:t>
      </w:r>
    </w:p>
    <w:p w:rsidR="004905BC" w:rsidRDefault="00064C81">
      <w:pPr>
        <w:ind w:firstLine="709"/>
      </w:pPr>
      <w:r>
        <w:t>24.4</w:t>
      </w:r>
      <w:r>
        <w:t>. Pasirinkti vieną iš toliau nurodytų medžiag</w:t>
      </w:r>
      <w:r>
        <w:t>os paėmimo metodų:</w:t>
      </w:r>
    </w:p>
    <w:p w:rsidR="004905BC" w:rsidRDefault="00064C81">
      <w:pPr>
        <w:ind w:firstLine="709"/>
      </w:pPr>
      <w:r>
        <w:t>24.4.1</w:t>
      </w:r>
      <w:r>
        <w:t>. Medžiagos paėmimas naudojant mentelę ir šepetėlį:</w:t>
      </w:r>
    </w:p>
    <w:p w:rsidR="004905BC" w:rsidRDefault="00064C81">
      <w:pPr>
        <w:ind w:firstLine="709"/>
      </w:pPr>
      <w:r>
        <w:t>24.4.1.1</w:t>
      </w:r>
      <w:r>
        <w:t>. ilgesnis mentelės galas įkišamas į gimdos kaklelio žiotis;</w:t>
      </w:r>
    </w:p>
    <w:p w:rsidR="004905BC" w:rsidRDefault="00064C81">
      <w:pPr>
        <w:ind w:firstLine="709"/>
        <w:jc w:val="both"/>
      </w:pPr>
      <w:r>
        <w:t>24.4.1.2</w:t>
      </w:r>
      <w:r>
        <w:t>. mentelė apsukama vieną kartą 360</w:t>
      </w:r>
      <w:r>
        <w:rPr>
          <w:vertAlign w:val="superscript"/>
        </w:rPr>
        <w:t>o</w:t>
      </w:r>
      <w:r>
        <w:t xml:space="preserve"> kampu visu išoriniu gimdos kaklelio paviršiumi bei gimdos kaklelio žiotimis. Mentelė priglaudžiama tvirtai, kad būtų gauta daugiau citologinės medžiagos;</w:t>
      </w:r>
    </w:p>
    <w:p w:rsidR="004905BC" w:rsidRDefault="00064C81">
      <w:pPr>
        <w:ind w:firstLine="709"/>
        <w:jc w:val="both"/>
      </w:pPr>
      <w:r>
        <w:t>24.4.1.3</w:t>
      </w:r>
      <w:r>
        <w:t>. paimta medžiaga braukiamuoju judesiu paskleidžiama nuo viso horizontalaus mentelės pavi</w:t>
      </w:r>
      <w:r>
        <w:t>ršiaus kairėje objektinio stiklelio dalyje (arčiau stiklelio markiruotos dalies):</w:t>
      </w:r>
    </w:p>
    <w:p w:rsidR="004905BC" w:rsidRDefault="004905BC">
      <w:pPr>
        <w:ind w:firstLine="709"/>
        <w:jc w:val="both"/>
      </w:pPr>
    </w:p>
    <w:p w:rsidR="004905BC" w:rsidRDefault="00064C81">
      <w:pPr>
        <w:jc w:val="center"/>
      </w:pPr>
      <w:r>
        <w:rPr>
          <w:noProof/>
          <w:lang w:eastAsia="lt-LT"/>
        </w:rPr>
        <w:drawing>
          <wp:inline distT="0" distB="0" distL="0" distR="0" wp14:anchorId="32AB7A75" wp14:editId="7785B70A">
            <wp:extent cx="418147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885825"/>
                    </a:xfrm>
                    <a:prstGeom prst="rect">
                      <a:avLst/>
                    </a:prstGeom>
                    <a:noFill/>
                    <a:ln>
                      <a:noFill/>
                    </a:ln>
                  </pic:spPr>
                </pic:pic>
              </a:graphicData>
            </a:graphic>
          </wp:inline>
        </w:drawing>
      </w:r>
    </w:p>
    <w:p w:rsidR="004905BC" w:rsidRDefault="00064C81">
      <w:pPr>
        <w:ind w:firstLine="709"/>
      </w:pPr>
    </w:p>
    <w:p w:rsidR="004905BC" w:rsidRDefault="00064C81">
      <w:pPr>
        <w:ind w:firstLine="709"/>
        <w:jc w:val="both"/>
      </w:pPr>
      <w:r>
        <w:t>24.4.1.4</w:t>
      </w:r>
      <w:r>
        <w:t>.</w:t>
      </w:r>
      <w:r>
        <w:rPr>
          <w:b/>
        </w:rPr>
        <w:t xml:space="preserve"> </w:t>
      </w:r>
      <w:r>
        <w:t>šepetėlis įkišamas į gimdos kaklelio kanalą ir vieną kartą pasukamas 1/4 arba 1/2 gimdos kaklelio paviršiaus;</w:t>
      </w:r>
    </w:p>
    <w:p w:rsidR="004905BC" w:rsidRDefault="00064C81">
      <w:pPr>
        <w:ind w:firstLine="709"/>
        <w:rPr>
          <w:spacing w:val="-4"/>
        </w:rPr>
      </w:pPr>
      <w:r>
        <w:rPr>
          <w:spacing w:val="-4"/>
        </w:rPr>
        <w:t>24.4.1.5</w:t>
      </w:r>
      <w:r>
        <w:rPr>
          <w:spacing w:val="-4"/>
        </w:rPr>
        <w:t>. paimta medžiaga piešiamuoju jude</w:t>
      </w:r>
      <w:r>
        <w:rPr>
          <w:spacing w:val="-4"/>
        </w:rPr>
        <w:t>siu paskleidžiama dešinėje objektinio stiklelio dalyje:</w:t>
      </w:r>
    </w:p>
    <w:p w:rsidR="004905BC" w:rsidRDefault="004905BC">
      <w:pPr>
        <w:ind w:firstLine="709"/>
      </w:pPr>
    </w:p>
    <w:p w:rsidR="004905BC" w:rsidRDefault="00064C81">
      <w:pPr>
        <w:jc w:val="center"/>
      </w:pPr>
      <w:r>
        <w:rPr>
          <w:noProof/>
          <w:lang w:eastAsia="lt-LT"/>
        </w:rPr>
        <w:drawing>
          <wp:inline distT="0" distB="0" distL="0" distR="0" wp14:anchorId="5FCBE0FC" wp14:editId="2B830208">
            <wp:extent cx="418147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762000"/>
                    </a:xfrm>
                    <a:prstGeom prst="rect">
                      <a:avLst/>
                    </a:prstGeom>
                    <a:noFill/>
                    <a:ln>
                      <a:noFill/>
                    </a:ln>
                  </pic:spPr>
                </pic:pic>
              </a:graphicData>
            </a:graphic>
          </wp:inline>
        </w:drawing>
      </w:r>
    </w:p>
    <w:p w:rsidR="004905BC" w:rsidRDefault="00064C81">
      <w:pPr>
        <w:ind w:firstLine="709"/>
      </w:pPr>
    </w:p>
    <w:p w:rsidR="004905BC" w:rsidRDefault="00064C81">
      <w:pPr>
        <w:tabs>
          <w:tab w:val="left" w:pos="1134"/>
        </w:tabs>
        <w:ind w:firstLine="709"/>
        <w:jc w:val="both"/>
      </w:pPr>
      <w:r>
        <w:t>24.4.2</w:t>
      </w:r>
      <w:r>
        <w:t>. Medžiagos paėmimas naudojant šluotelę:</w:t>
      </w:r>
    </w:p>
    <w:p w:rsidR="004905BC" w:rsidRDefault="00064C81">
      <w:pPr>
        <w:tabs>
          <w:tab w:val="left" w:pos="1134"/>
        </w:tabs>
        <w:ind w:firstLine="709"/>
        <w:jc w:val="both"/>
      </w:pPr>
      <w:r>
        <w:t>24.4.2.1</w:t>
      </w:r>
      <w:r>
        <w:t>. ilgieji šluotelės šereliai įkišami į endocervikalinį kanalą taip, kad šluotelės trumpieji šereliai kontaktuotų su išorine gimdos ka</w:t>
      </w:r>
      <w:r>
        <w:t>klelio dalimi;</w:t>
      </w:r>
    </w:p>
    <w:p w:rsidR="004905BC" w:rsidRDefault="00064C81">
      <w:pPr>
        <w:tabs>
          <w:tab w:val="left" w:pos="1134"/>
        </w:tabs>
        <w:ind w:firstLine="709"/>
        <w:jc w:val="both"/>
      </w:pPr>
      <w:r>
        <w:t>24.4.2.2</w:t>
      </w:r>
      <w:r>
        <w:t>. šluotelė 3–5 kartus pasukama laikrodžio rodyklės kryptimi;</w:t>
      </w:r>
    </w:p>
    <w:p w:rsidR="004905BC" w:rsidRDefault="00064C81">
      <w:pPr>
        <w:tabs>
          <w:tab w:val="left" w:pos="1134"/>
        </w:tabs>
        <w:ind w:firstLine="709"/>
        <w:jc w:val="both"/>
      </w:pPr>
      <w:r>
        <w:t>24.4.2.3</w:t>
      </w:r>
      <w:r>
        <w:t>. paimta medžiaga paskleidžiama nuo abiejų šluotelės pusių</w:t>
      </w:r>
    </w:p>
    <w:p w:rsidR="004905BC" w:rsidRDefault="004905BC">
      <w:pPr>
        <w:ind w:firstLine="709"/>
        <w:jc w:val="both"/>
      </w:pPr>
    </w:p>
    <w:p w:rsidR="004905BC" w:rsidRDefault="00064C81">
      <w:pPr>
        <w:jc w:val="center"/>
      </w:pPr>
      <w:r>
        <w:rPr>
          <w:noProof/>
          <w:lang w:eastAsia="lt-LT"/>
        </w:rPr>
        <w:drawing>
          <wp:inline distT="0" distB="0" distL="0" distR="0" wp14:anchorId="5BF1C89E" wp14:editId="65AA3BD3">
            <wp:extent cx="524827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600075"/>
                    </a:xfrm>
                    <a:prstGeom prst="rect">
                      <a:avLst/>
                    </a:prstGeom>
                    <a:noFill/>
                    <a:ln>
                      <a:noFill/>
                    </a:ln>
                  </pic:spPr>
                </pic:pic>
              </a:graphicData>
            </a:graphic>
          </wp:inline>
        </w:drawing>
      </w:r>
    </w:p>
    <w:p w:rsidR="004905BC" w:rsidRDefault="00064C81">
      <w:pPr>
        <w:ind w:firstLine="709"/>
        <w:jc w:val="both"/>
      </w:pPr>
    </w:p>
    <w:p w:rsidR="004905BC" w:rsidRDefault="00064C81">
      <w:pPr>
        <w:ind w:firstLine="709"/>
        <w:jc w:val="both"/>
      </w:pPr>
      <w:r>
        <w:t>24.5</w:t>
      </w:r>
      <w:r>
        <w:t>. Paruoštas tepinėlis nedelsiant fiksuojamas vienu iš šių metodų:</w:t>
      </w:r>
    </w:p>
    <w:p w:rsidR="004905BC" w:rsidRDefault="00064C81">
      <w:pPr>
        <w:ind w:firstLine="709"/>
        <w:jc w:val="both"/>
      </w:pPr>
      <w:r>
        <w:t>24.5.1</w:t>
      </w:r>
      <w:r>
        <w:t xml:space="preserve">. </w:t>
      </w:r>
      <w:r>
        <w:t>aerozoliniu fiksatoriumi – purškiama iš 25–30 cm atstumo (2–3 paspaudimai), palaukiama, kol nudžius;</w:t>
      </w:r>
    </w:p>
    <w:p w:rsidR="004905BC" w:rsidRDefault="00064C81">
      <w:pPr>
        <w:ind w:firstLine="709"/>
        <w:jc w:val="both"/>
      </w:pPr>
      <w:r>
        <w:t>24.5.2</w:t>
      </w:r>
      <w:r>
        <w:t>. tepinėlis pamerkiamas į 96% etilo alkoholį ir palaikomas jame 10–15 min.;</w:t>
      </w:r>
    </w:p>
    <w:p w:rsidR="004905BC" w:rsidRDefault="00064C81">
      <w:pPr>
        <w:ind w:firstLine="709"/>
        <w:jc w:val="both"/>
      </w:pPr>
      <w:r>
        <w:t>24.5.3</w:t>
      </w:r>
      <w:r>
        <w:t>. lašinamuoju fiksatoriumi su polietilenglikoliu – ant tepi</w:t>
      </w:r>
      <w:r>
        <w:t>nėlio užlašinami 6–7 lašai pasirinkto tirpalo ir laukiama, kol nudžius.</w:t>
      </w:r>
    </w:p>
    <w:p w:rsidR="004905BC" w:rsidRDefault="00064C81">
      <w:pPr>
        <w:ind w:firstLine="709"/>
        <w:jc w:val="both"/>
      </w:pPr>
      <w:r>
        <w:t>25</w:t>
      </w:r>
      <w:r>
        <w:t>. Reikalavimai tiriamosios medžiagos siuntimui:</w:t>
      </w:r>
    </w:p>
    <w:p w:rsidR="004905BC" w:rsidRDefault="00064C81">
      <w:pPr>
        <w:tabs>
          <w:tab w:val="left" w:pos="1134"/>
        </w:tabs>
        <w:ind w:left="1" w:firstLine="709"/>
        <w:jc w:val="both"/>
      </w:pPr>
      <w:r>
        <w:t>25.1</w:t>
      </w:r>
      <w:r>
        <w:t>. užpildytą siuntimą siųsti plastikiniame, sandariai užsegtame maišelyje;</w:t>
      </w:r>
    </w:p>
    <w:p w:rsidR="004905BC" w:rsidRDefault="00064C81">
      <w:pPr>
        <w:tabs>
          <w:tab w:val="left" w:pos="1134"/>
        </w:tabs>
        <w:ind w:left="1" w:firstLine="709"/>
        <w:jc w:val="both"/>
      </w:pPr>
      <w:r>
        <w:t>25.2</w:t>
      </w:r>
      <w:r>
        <w:t>. tepinėlį siųsti objektinių stiklelių</w:t>
      </w:r>
      <w:r>
        <w:t xml:space="preserve"> transportavimo konteineryje;</w:t>
      </w:r>
    </w:p>
    <w:p w:rsidR="004905BC" w:rsidRDefault="00064C81">
      <w:pPr>
        <w:ind w:firstLine="709"/>
        <w:jc w:val="both"/>
      </w:pPr>
      <w:r>
        <w:t>25.3</w:t>
      </w:r>
      <w:r>
        <w:t>. siunčiant kelių moterų tepinėlius, galima naudoti tą patį objektinių stiklelių konteinerį ir maišelį siuntimams.</w:t>
      </w:r>
    </w:p>
    <w:p w:rsidR="004905BC" w:rsidRDefault="00064C81">
      <w:pPr>
        <w:tabs>
          <w:tab w:val="left" w:leader="dot" w:pos="7992"/>
        </w:tabs>
        <w:ind w:firstLine="709"/>
        <w:rPr>
          <w:b/>
          <w:i/>
        </w:rPr>
      </w:pPr>
    </w:p>
    <w:p w:rsidR="004905BC" w:rsidRDefault="00064C81">
      <w:pPr>
        <w:tabs>
          <w:tab w:val="left" w:leader="dot" w:pos="7992"/>
        </w:tabs>
        <w:jc w:val="center"/>
        <w:rPr>
          <w:b/>
        </w:rPr>
      </w:pPr>
      <w:r>
        <w:rPr>
          <w:b/>
        </w:rPr>
        <w:t>VI</w:t>
      </w:r>
      <w:r>
        <w:rPr>
          <w:b/>
        </w:rPr>
        <w:t xml:space="preserve">. </w:t>
      </w:r>
      <w:r>
        <w:rPr>
          <w:b/>
        </w:rPr>
        <w:t>CITOLOGINIO GIMDOS KAKLELIO TEPINĖLIO (PAP TESTO) ĮVERTINIMAS</w:t>
      </w:r>
    </w:p>
    <w:p w:rsidR="004905BC" w:rsidRDefault="004905BC">
      <w:pPr>
        <w:tabs>
          <w:tab w:val="left" w:leader="dot" w:pos="7992"/>
        </w:tabs>
        <w:ind w:firstLine="709"/>
        <w:rPr>
          <w:b/>
        </w:rPr>
      </w:pPr>
    </w:p>
    <w:p w:rsidR="004905BC" w:rsidRDefault="00064C81">
      <w:pPr>
        <w:ind w:firstLine="709"/>
        <w:jc w:val="both"/>
      </w:pPr>
      <w:r>
        <w:t>26</w:t>
      </w:r>
      <w:r>
        <w:t>. Pap tepinėliui įver</w:t>
      </w:r>
      <w:r>
        <w:t>tinti naudojama 2001 m. Bethesda sistema (gimdos kaklelio/makšties citologinių radinių terminija pagal 2001 m. JAV Nacionalinio vėžio instituto rekomendacijas). Citologinė 2001 m. Bethesda sistema yra sudaryta pagal naujausių mokslinių tyrimų ir pirminių g</w:t>
      </w:r>
      <w:r>
        <w:t xml:space="preserve">imdos kaklelio patologijos patikros programų rezultatus. Ji integruoja dabartinius gimdos kaklelio patologijos vystymosi biomechanizmus ir citologinio tyrimo technologinius momentus. 2001 m. Bethesda sistemos tikslas – efektyvus laboratorijų ir klinicistų </w:t>
      </w:r>
      <w:r>
        <w:t>bendravimas, interpretuojant standartizuotus gimdos kaklelio citologinio tyrimo rezultatus, naudojant visuotinai priimtas pacienčių, kurių gimdos kaklelio citologija patologinė, priežiūros rekomendacijas.</w:t>
      </w:r>
    </w:p>
    <w:p w:rsidR="004905BC" w:rsidRDefault="00064C81">
      <w:pPr>
        <w:ind w:firstLine="709"/>
        <w:jc w:val="both"/>
      </w:pPr>
      <w:r>
        <w:t>27</w:t>
      </w:r>
      <w:r>
        <w:t>. Pap testo išvada formuluojama vadovaujantis</w:t>
      </w:r>
      <w:r>
        <w:t xml:space="preserve"> JAV Nacionalinio vėžio instituto išleista Bethesdos gimdos kaklelio/makšties citologinių diagnozių sistema, kuri susideda iš: </w:t>
      </w:r>
    </w:p>
    <w:p w:rsidR="004905BC" w:rsidRDefault="00064C81">
      <w:pPr>
        <w:ind w:firstLine="709"/>
        <w:jc w:val="both"/>
      </w:pPr>
      <w:r>
        <w:t>27.1</w:t>
      </w:r>
      <w:r>
        <w:t>. Pap tepinėlio tinkamumo įvertinimo,</w:t>
      </w:r>
    </w:p>
    <w:p w:rsidR="004905BC" w:rsidRDefault="00064C81">
      <w:pPr>
        <w:ind w:firstLine="709"/>
        <w:jc w:val="both"/>
      </w:pPr>
      <w:r>
        <w:t>27.2</w:t>
      </w:r>
      <w:r>
        <w:t xml:space="preserve">. mikroskopinio tyrimo interpretacijos ir rezultatų, </w:t>
      </w:r>
    </w:p>
    <w:p w:rsidR="004905BC" w:rsidRDefault="00064C81">
      <w:pPr>
        <w:ind w:firstLine="709"/>
        <w:jc w:val="both"/>
      </w:pPr>
      <w:r>
        <w:t>27.3</w:t>
      </w:r>
      <w:r>
        <w:t>. rekomendacij</w:t>
      </w:r>
      <w:r>
        <w:t>os ir komentaro.</w:t>
      </w:r>
    </w:p>
    <w:p w:rsidR="004905BC" w:rsidRDefault="00064C81">
      <w:pPr>
        <w:ind w:firstLine="709"/>
        <w:jc w:val="both"/>
      </w:pPr>
      <w:r>
        <w:t>28</w:t>
      </w:r>
      <w:r>
        <w:t>. Pap tepinėlio tinkamumas tirti glaudžiai susijęs su preanalitinės testo fazės kokybe – mėginio paėmimo, citologinio tepinėlio paruošimo, laiku atliekamo ir tinkamo fiksavimo bei transportavimo kokybe.</w:t>
      </w:r>
    </w:p>
    <w:p w:rsidR="004905BC" w:rsidRDefault="00064C81">
      <w:pPr>
        <w:ind w:firstLine="709"/>
        <w:jc w:val="both"/>
      </w:pPr>
      <w:r>
        <w:rPr>
          <w:noProof/>
          <w:lang w:eastAsia="lt-LT"/>
        </w:rPr>
        <mc:AlternateContent>
          <mc:Choice Requires="wps">
            <w:drawing>
              <wp:anchor distT="0" distB="0" distL="114300" distR="114300" simplePos="0" relativeHeight="251657216" behindDoc="0" locked="0" layoutInCell="0" allowOverlap="1" wp14:anchorId="4EC5F31B" wp14:editId="1B0C2A67">
                <wp:simplePos x="0" y="0"/>
                <wp:positionH relativeFrom="column">
                  <wp:posOffset>4480560</wp:posOffset>
                </wp:positionH>
                <wp:positionV relativeFrom="paragraph">
                  <wp:posOffset>11229975</wp:posOffset>
                </wp:positionV>
                <wp:extent cx="1092835" cy="1078865"/>
                <wp:effectExtent l="13335" t="9525" r="8255" b="6985"/>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1078865"/>
                        </a:xfrm>
                        <a:prstGeom prst="rect">
                          <a:avLst/>
                        </a:prstGeom>
                        <a:solidFill>
                          <a:srgbClr val="FFFFFF"/>
                        </a:solidFill>
                        <a:ln w="9525">
                          <a:solidFill>
                            <a:srgbClr val="000000"/>
                          </a:solidFill>
                          <a:miter lim="800000"/>
                          <a:headEnd/>
                          <a:tailEnd/>
                        </a:ln>
                      </wps:spPr>
                      <wps:txbx>
                        <w:txbxContent>
                          <w:p w:rsidR="004905BC" w:rsidRDefault="00064C81">
                            <w:r>
                              <w:object w:dxaOrig="1515"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132pt" o:ole="">
                                  <v:imagedata r:id="rId15" o:title=""/>
                                </v:shape>
                                <o:OLEObject Type="Embed" ProgID="Photoshop.Image.6" ShapeID="_x0000_i1027" DrawAspect="Content" ObjectID="_1664006814" r:id="rId1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294" o:spid="_x0000_s1026" style="position:absolute;left:0;text-align:left;margin-left:352.8pt;margin-top:884.25pt;width:86.05pt;height:8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pkFUIQIAAEEEAAAOAAAAZHJzL2Uyb0RvYy54bWysU9uO0zAQfUfiHyy/0ySFLm3UdLXqUoS0 wIqFD3AcJ7HwjbHbdPn6HTtp6QJPiDxY43h8fOacmfX1UStyEOClNRUtZjklwnDbSNNV9NvX3asl JT4w0zBljajoo/D0evPyxXpwpZjb3qpGAEEQ48vBVbQPwZVZ5nkvNPMz64TBw9aCZgG30GUNsAHR tcrmeX6VDRYaB5YL7/Hv7XhINwm/bQUPn9vWi0BURZFbSCuktY5rtlmzsgPmesknGuwfWGgmDT56 hrplgZE9yD+gtORgvW3DjFud2baVXKQasJoi/62ah545kWpBcbw7y+T/Hyz/dLgHIhv0jhLDNFr0 BUVjplOCzFdvokCD8yXmPbh7iCV6d2f5d0+M3faYJ24A7NAL1iCtIuZnzy7EjcerpB4+2gbx2T7Y pNWxBR0BUQVyTJY8ni0Rx0A4/izy1Xz5ekEJx7Mif7tcXi3SG6w8XXfgw3thNYlBRQHpJ3h2uPMh 0mHlKSXRt0o2O6lU2kBXbxWQA8P+2KVvQveXacqQoaKrxXyRkJ+d+UuIPH1/g9AyYKMrqSu6PCex Mur2zjSpDQOTaoyRsjKTkFG70YNwrI+TVZMrtW0eUVmwY1/jHGLQW/hJyYA9XVH/Y89AUKI+GHQn DsApgFNQnwJmOF6taKBkDLdhHJS9A9n1iFyk6o29QQdbmbSN7o4sJrrYp0nyaabiIFzuU9avyd88 AQAA//8DAFBLAwQUAAYACAAAACEADzCxJeMAAAANAQAADwAAAGRycy9kb3ducmV2LnhtbEyPy07D MBBF90j8gzVI7KgDNHEIcSqE1A2IiqYVYunG0yQQ21Hspilf32EFy5l7dB/5YjIdG3HwrbMSbmcR MLSV062tJWw3y5sUmA/KatU5ixJO6GFRXF7kKtPuaNc4lqFmZGJ9piQ0IfQZ575q0Cg/cz1a0vZu MCrQOdRcD+pI5qbjd1GUcKNaSwmN6vG5weq7PBjKnfdf29XLavl2+vkY/fvrZxnvnZTXV9PTI7CA U/iD4bc+VYeCOu3cwWrPOgkiihNCSRBJGgMjJBVCANvR6+E+nQMvcv5/RXEGAAD//wMAUEsBAi0A FAAGAAgAAAAhALaDOJL+AAAA4QEAABMAAAAAAAAAAAAAAAAAAAAAAFtDb250ZW50X1R5cGVzXS54 bWxQSwECLQAUAAYACAAAACEAOP0h/9YAAACUAQAACwAAAAAAAAAAAAAAAAAvAQAAX3JlbHMvLnJl bHNQSwECLQAUAAYACAAAACEAoKZBVCECAABBBAAADgAAAAAAAAAAAAAAAAAuAgAAZHJzL2Uyb0Rv Yy54bWxQSwECLQAUAAYACAAAACEADzCxJeMAAAANAQAADwAAAAAAAAAAAAAAAAB7BAAAZHJzL2Rv d25yZXYueG1sUEsFBgAAAAAEAAQA8wAAAIsFAAAAAA== " o:allowincell="f">
                <v:textbox inset="0,0,0,0">
                  <w:txbxContent>
                    <w:p>
                      <w:pPr>
                        <w:rPr>
                          <w:rFonts w:ascii="Times New Roman" w:hAnsi="Times New Roman" w:eastAsia="Times New Roman" w:cs="Times New Roman"/>
                        </w:rPr>
                      </w:pPr>
                      <w:r>
                        <w:rPr>
                          <w:rFonts w:ascii="Times New Roman" w:hAnsi="Times New Roman" w:eastAsia="Times New Roman" w:cs="Times New Roman"/>
                        </w:rPr>
                        <w:object w:dxaOrig="1515" w:dyaOrig="2640">
                          <v:shape id="_x0000_i1027" type="#_x0000_t75" style="width:75.75pt;height:132pt" o:ole="">
                            <v:imagedata r:id="rId17" o:title=""/>
                          </v:shape>
                          <o:OLEObject Type="Embed" ProgID="Photoshop.Image.6" ShapeID="_x0000_i1027" DrawAspect="Content" ObjectID="_1497527976" r:id="rId18">
                            <o:FieldCodes>\s</o:FieldCodes>
                          </o:OLEObject>
                        </w:object>
                      </w:r>
                    </w:p>
                  </w:txbxContent>
                </v:textbox>
              </v:rect>
            </w:pict>
          </mc:Fallback>
        </mc:AlternateContent>
      </w:r>
      <w:r>
        <w:t>29</w:t>
      </w:r>
      <w:r>
        <w:t xml:space="preserve">. Tepinėlio tinkamumo vertinimas pagal Bethesda sistemą yra svarbus kokybės kontrolės veiksnys. Tepinėlio vertinime nurodomi ir kiti kokybės indikatoriai: gausus uždegiminis eksudatas, kraujas ir kt. Tepinėliai netinka tirti, kai dėl gausaus </w:t>
      </w:r>
      <w:r>
        <w:t>uždegiminio eksudato ir kraujo neįmanoma apžiūrėti daugiau nei 75</w:t>
      </w:r>
      <w:r>
        <w:sym w:font="Symbol" w:char="0025"/>
      </w:r>
      <w:r>
        <w:t xml:space="preserve"> epitelio ląstelių. Į laboratoriją nepriimami nepaženklinti, klaidingai paženklinti ir sudužę tepinėlių stikleliai.</w:t>
      </w:r>
    </w:p>
    <w:p w:rsidR="004905BC" w:rsidRDefault="00064C81">
      <w:pPr>
        <w:ind w:firstLine="709"/>
        <w:jc w:val="both"/>
      </w:pPr>
      <w:r>
        <w:t>29.1</w:t>
      </w:r>
      <w:r>
        <w:t xml:space="preserve">. Tepinėlis tinka tirti, kai preparate yra: </w:t>
      </w:r>
    </w:p>
    <w:p w:rsidR="004905BC" w:rsidRDefault="00064C81">
      <w:pPr>
        <w:ind w:firstLine="709"/>
        <w:jc w:val="both"/>
      </w:pPr>
      <w:r>
        <w:t>29.1.1</w:t>
      </w:r>
      <w:r>
        <w:t>. 8000–12000 eg</w:t>
      </w:r>
      <w:r>
        <w:t>zocervikalinės srities plokščiojo epitelio ląstelių, o „skystos citologijos“ principu pagamintame tepinėlyje – ne mažiau kaip 5000,</w:t>
      </w:r>
    </w:p>
    <w:p w:rsidR="004905BC" w:rsidRDefault="00064C81">
      <w:pPr>
        <w:ind w:firstLine="709"/>
        <w:jc w:val="both"/>
      </w:pPr>
      <w:r>
        <w:t>29.1.2</w:t>
      </w:r>
      <w:r>
        <w:t>. daugiau nei 10 metaplastinių arba liaukinio epitelio ląstelių iš transformacijos ir/arba endocervikalinės sritie</w:t>
      </w:r>
      <w:r>
        <w:t>s.</w:t>
      </w:r>
    </w:p>
    <w:p w:rsidR="004905BC" w:rsidRDefault="00064C81">
      <w:pPr>
        <w:ind w:firstLine="709"/>
      </w:pPr>
      <w:r>
        <w:t>30</w:t>
      </w:r>
      <w:r>
        <w:t>. Dažniausiai pasitaikančios klaidos:</w:t>
      </w:r>
    </w:p>
    <w:p w:rsidR="004905BC" w:rsidRDefault="00064C81">
      <w:pPr>
        <w:ind w:firstLine="709"/>
        <w:jc w:val="both"/>
      </w:pPr>
      <w:r>
        <w:t>30.1</w:t>
      </w:r>
      <w:r>
        <w:t>. tepinėlis paimtas esant dideliam, aktyviam uždegimui,</w:t>
      </w:r>
    </w:p>
    <w:p w:rsidR="004905BC" w:rsidRDefault="00064C81">
      <w:pPr>
        <w:ind w:firstLine="709"/>
        <w:jc w:val="both"/>
      </w:pPr>
      <w:r>
        <w:t>30.2</w:t>
      </w:r>
      <w:r>
        <w:t>. tepinėlis padarytas netinkamai (storas ir kraujingas),</w:t>
      </w:r>
    </w:p>
    <w:p w:rsidR="004905BC" w:rsidRDefault="00064C81">
      <w:pPr>
        <w:ind w:firstLine="709"/>
        <w:jc w:val="both"/>
      </w:pPr>
      <w:r>
        <w:t>30.3</w:t>
      </w:r>
      <w:r>
        <w:t>. tepinėlis nepaženklintas arba paženklintas klaidingai,</w:t>
      </w:r>
    </w:p>
    <w:p w:rsidR="004905BC" w:rsidRDefault="00064C81">
      <w:pPr>
        <w:ind w:firstLine="709"/>
        <w:jc w:val="both"/>
      </w:pPr>
      <w:r>
        <w:t>30.4</w:t>
      </w:r>
      <w:r>
        <w:t xml:space="preserve">. </w:t>
      </w:r>
      <w:r>
        <w:t>tepinėlis užterštas drėkinamosiomis medžiagomis,</w:t>
      </w:r>
    </w:p>
    <w:p w:rsidR="004905BC" w:rsidRDefault="00064C81">
      <w:pPr>
        <w:ind w:firstLine="709"/>
        <w:jc w:val="both"/>
      </w:pPr>
      <w:r>
        <w:t>30.5</w:t>
      </w:r>
      <w:r>
        <w:t>. nepakanka medžiagos iš egzocervikalinės srities,</w:t>
      </w:r>
    </w:p>
    <w:p w:rsidR="004905BC" w:rsidRDefault="00064C81">
      <w:pPr>
        <w:ind w:firstLine="709"/>
        <w:jc w:val="both"/>
      </w:pPr>
      <w:r>
        <w:t>30.6</w:t>
      </w:r>
      <w:r>
        <w:t>. nėra transformacijos zonos elementų,</w:t>
      </w:r>
    </w:p>
    <w:p w:rsidR="004905BC" w:rsidRDefault="00064C81">
      <w:pPr>
        <w:ind w:firstLine="709"/>
        <w:jc w:val="both"/>
      </w:pPr>
      <w:r>
        <w:t>30.7</w:t>
      </w:r>
      <w:r>
        <w:t>. pasireiškę džiūvimo ore artefaktai, laiku ir tinkamai nefiksavus tepinėlio.</w:t>
      </w:r>
    </w:p>
    <w:p w:rsidR="004905BC" w:rsidRDefault="00064C81">
      <w:pPr>
        <w:ind w:firstLine="709"/>
        <w:jc w:val="both"/>
        <w:rPr>
          <w:b/>
        </w:rPr>
      </w:pPr>
      <w:r>
        <w:rPr>
          <w:b/>
        </w:rPr>
        <w:t>31</w:t>
      </w:r>
      <w:r>
        <w:rPr>
          <w:b/>
        </w:rPr>
        <w:t xml:space="preserve">. 2001 </w:t>
      </w:r>
      <w:r>
        <w:rPr>
          <w:b/>
        </w:rPr>
        <w:t>m. Bethesda sistema (sutrumpinta):</w:t>
      </w:r>
    </w:p>
    <w:p w:rsidR="004905BC" w:rsidRDefault="00064C81">
      <w:pPr>
        <w:tabs>
          <w:tab w:val="left" w:pos="270"/>
        </w:tabs>
        <w:ind w:firstLine="709"/>
        <w:jc w:val="both"/>
      </w:pPr>
      <w:r>
        <w:t>31.1</w:t>
      </w:r>
      <w:r>
        <w:t>. Tepinėlio tinkamumo kategorijos</w:t>
      </w:r>
    </w:p>
    <w:p w:rsidR="004905BC" w:rsidRDefault="00064C81">
      <w:pPr>
        <w:tabs>
          <w:tab w:val="left" w:pos="270"/>
        </w:tabs>
        <w:ind w:firstLine="709"/>
        <w:jc w:val="both"/>
      </w:pPr>
      <w:r>
        <w:t>31.1.1</w:t>
      </w:r>
      <w:r>
        <w:t>. Tepinėlis tinka tirti....(aprašomi plokščiojo epitelio, endocervikalinės/transformacijos srities komponentai)</w:t>
      </w:r>
    </w:p>
    <w:p w:rsidR="004905BC" w:rsidRDefault="00064C81">
      <w:pPr>
        <w:tabs>
          <w:tab w:val="left" w:pos="270"/>
        </w:tabs>
        <w:ind w:firstLine="709"/>
        <w:jc w:val="both"/>
      </w:pPr>
      <w:r>
        <w:t>31.1.2</w:t>
      </w:r>
      <w:r>
        <w:t>. Tepinėlis netinka tirti dėl....(nurodomos priežas</w:t>
      </w:r>
      <w:r>
        <w:t>tys)</w:t>
      </w:r>
    </w:p>
    <w:p w:rsidR="004905BC" w:rsidRDefault="00064C81">
      <w:pPr>
        <w:tabs>
          <w:tab w:val="left" w:pos="270"/>
        </w:tabs>
        <w:ind w:firstLine="709"/>
        <w:jc w:val="both"/>
      </w:pPr>
      <w:r>
        <w:t>31.1.2.1</w:t>
      </w:r>
      <w:r>
        <w:t>. Tepinėlis nepriimtas tirti dėl......(nurodomos priežastys)</w:t>
      </w:r>
    </w:p>
    <w:p w:rsidR="004905BC" w:rsidRDefault="00064C81">
      <w:pPr>
        <w:tabs>
          <w:tab w:val="left" w:pos="270"/>
        </w:tabs>
        <w:ind w:firstLine="709"/>
        <w:jc w:val="both"/>
      </w:pPr>
      <w:r>
        <w:t>31.1.2.2</w:t>
      </w:r>
      <w:r>
        <w:t>. Tepinėlis nudažytas, bet jis netinka tirti dėl...(nurodomos priežastys)</w:t>
      </w:r>
    </w:p>
    <w:p w:rsidR="004905BC" w:rsidRDefault="00064C81">
      <w:pPr>
        <w:tabs>
          <w:tab w:val="left" w:pos="270"/>
        </w:tabs>
        <w:ind w:firstLine="709"/>
        <w:jc w:val="both"/>
      </w:pPr>
      <w:r>
        <w:t>31.2</w:t>
      </w:r>
      <w:r>
        <w:t>. Bendrosios kategorijos (pasirinktinai)</w:t>
      </w:r>
    </w:p>
    <w:p w:rsidR="004905BC" w:rsidRDefault="00064C81">
      <w:pPr>
        <w:tabs>
          <w:tab w:val="left" w:pos="270"/>
        </w:tabs>
        <w:ind w:firstLine="709"/>
        <w:jc w:val="both"/>
      </w:pPr>
      <w:r>
        <w:t>31.2.1</w:t>
      </w:r>
      <w:r>
        <w:t>. Nėra intraepitelinių pokyčių ar</w:t>
      </w:r>
      <w:r>
        <w:t xml:space="preserve"> piktybinio naviko</w:t>
      </w:r>
    </w:p>
    <w:p w:rsidR="004905BC" w:rsidRDefault="00064C81">
      <w:pPr>
        <w:tabs>
          <w:tab w:val="left" w:pos="270"/>
        </w:tabs>
        <w:ind w:firstLine="709"/>
        <w:jc w:val="both"/>
      </w:pPr>
      <w:r>
        <w:t>31.2.1.1</w:t>
      </w:r>
      <w:r>
        <w:t>. Mikrorganizmai</w:t>
      </w:r>
    </w:p>
    <w:p w:rsidR="004905BC" w:rsidRDefault="00064C81">
      <w:pPr>
        <w:tabs>
          <w:tab w:val="left" w:pos="270"/>
        </w:tabs>
        <w:ind w:firstLine="709"/>
        <w:jc w:val="both"/>
        <w:rPr>
          <w:i/>
        </w:rPr>
      </w:pPr>
      <w:r>
        <w:t>31.2.1.1.1</w:t>
      </w:r>
      <w:r>
        <w:t xml:space="preserve">. </w:t>
      </w:r>
      <w:r>
        <w:rPr>
          <w:i/>
        </w:rPr>
        <w:t>Trichomonas vaginalis</w:t>
      </w:r>
    </w:p>
    <w:p w:rsidR="004905BC" w:rsidRDefault="00064C81">
      <w:pPr>
        <w:tabs>
          <w:tab w:val="left" w:pos="270"/>
        </w:tabs>
        <w:ind w:firstLine="709"/>
        <w:jc w:val="both"/>
        <w:rPr>
          <w:i/>
        </w:rPr>
      </w:pPr>
      <w:r>
        <w:t>31.2.1.1.2</w:t>
      </w:r>
      <w:r>
        <w:t xml:space="preserve">. </w:t>
      </w:r>
      <w:r>
        <w:rPr>
          <w:i/>
        </w:rPr>
        <w:t xml:space="preserve">Candida spp. </w:t>
      </w:r>
      <w:r>
        <w:t>grybeliai</w:t>
      </w:r>
    </w:p>
    <w:p w:rsidR="004905BC" w:rsidRDefault="00064C81">
      <w:pPr>
        <w:tabs>
          <w:tab w:val="left" w:pos="270"/>
        </w:tabs>
        <w:ind w:firstLine="709"/>
        <w:jc w:val="both"/>
      </w:pPr>
      <w:r>
        <w:t>31.2.1.1.3</w:t>
      </w:r>
      <w:r>
        <w:t xml:space="preserve">. Pakitusi mikroflora, gali būti dėl bakterinės vaginozės </w:t>
      </w:r>
    </w:p>
    <w:p w:rsidR="004905BC" w:rsidRDefault="00064C81">
      <w:pPr>
        <w:tabs>
          <w:tab w:val="left" w:pos="270"/>
        </w:tabs>
        <w:ind w:firstLine="709"/>
        <w:jc w:val="both"/>
      </w:pPr>
      <w:r>
        <w:t>31.2.1.1.4</w:t>
      </w:r>
      <w:r>
        <w:t xml:space="preserve">. </w:t>
      </w:r>
      <w:r>
        <w:rPr>
          <w:i/>
        </w:rPr>
        <w:t>Actinomyces spp.</w:t>
      </w:r>
      <w:r>
        <w:t xml:space="preserve"> bakterijos</w:t>
      </w:r>
    </w:p>
    <w:p w:rsidR="004905BC" w:rsidRDefault="00064C81">
      <w:pPr>
        <w:tabs>
          <w:tab w:val="left" w:pos="270"/>
        </w:tabs>
        <w:ind w:firstLine="709"/>
        <w:jc w:val="both"/>
      </w:pPr>
      <w:r>
        <w:t>31.2.1.1.5</w:t>
      </w:r>
      <w:r>
        <w:t xml:space="preserve">. Ląstelių pokyčiai, susiję su </w:t>
      </w:r>
      <w:r>
        <w:rPr>
          <w:i/>
        </w:rPr>
        <w:t>Herpes simplex</w:t>
      </w:r>
      <w:r>
        <w:t xml:space="preserve"> virusu</w:t>
      </w:r>
    </w:p>
    <w:p w:rsidR="004905BC" w:rsidRDefault="00064C81">
      <w:pPr>
        <w:tabs>
          <w:tab w:val="left" w:pos="270"/>
        </w:tabs>
        <w:ind w:firstLine="709"/>
        <w:jc w:val="both"/>
      </w:pPr>
      <w:r>
        <w:t>31.2.1.2</w:t>
      </w:r>
      <w:r>
        <w:t>. Kiti neneoplaziniai radiniai (pasirinktinai; sutrumpintas sąrašas)</w:t>
      </w:r>
    </w:p>
    <w:bookmarkStart w:id="0" w:name="_GoBack" w:displacedByCustomXml="prev"/>
    <w:p w:rsidR="004905BC" w:rsidRDefault="00064C81">
      <w:pPr>
        <w:tabs>
          <w:tab w:val="left" w:pos="270"/>
        </w:tabs>
        <w:ind w:firstLine="709"/>
        <w:jc w:val="both"/>
      </w:pPr>
      <w:r>
        <w:t>31.2.1.1</w:t>
      </w:r>
      <w:r>
        <w:t>. Reaktyvūs ląstelių pokyčiai, susiję su:</w:t>
      </w:r>
    </w:p>
    <w:p w:rsidR="004905BC" w:rsidRDefault="00064C81">
      <w:pPr>
        <w:tabs>
          <w:tab w:val="left" w:pos="270"/>
        </w:tabs>
        <w:ind w:firstLine="709"/>
        <w:jc w:val="both"/>
      </w:pPr>
      <w:r>
        <w:t>31.2.1.1.1</w:t>
      </w:r>
      <w:r>
        <w:t>. uždegimu (priklauso ir tipinė reparacija)</w:t>
      </w:r>
    </w:p>
    <w:p w:rsidR="004905BC" w:rsidRDefault="00064C81">
      <w:pPr>
        <w:tabs>
          <w:tab w:val="left" w:pos="270"/>
        </w:tabs>
        <w:ind w:firstLine="709"/>
        <w:jc w:val="both"/>
      </w:pPr>
      <w:r>
        <w:t>31.2.1.1</w:t>
      </w:r>
      <w:r>
        <w:t>.2</w:t>
      </w:r>
      <w:r>
        <w:t>. radiacija</w:t>
      </w:r>
    </w:p>
    <w:p w:rsidR="004905BC" w:rsidRDefault="00064C81">
      <w:pPr>
        <w:tabs>
          <w:tab w:val="left" w:pos="270"/>
        </w:tabs>
        <w:ind w:firstLine="709"/>
        <w:jc w:val="both"/>
      </w:pPr>
      <w:r>
        <w:t>31.2.1.1.3</w:t>
      </w:r>
      <w:r>
        <w:t>. intrauterinine kontraceptine spirale</w:t>
      </w:r>
    </w:p>
    <w:p w:rsidR="004905BC" w:rsidRDefault="00064C81">
      <w:pPr>
        <w:tabs>
          <w:tab w:val="left" w:pos="270"/>
        </w:tabs>
        <w:ind w:firstLine="709"/>
        <w:jc w:val="both"/>
      </w:pPr>
      <w:r>
        <w:t>31.2.1.1.4</w:t>
      </w:r>
      <w:r>
        <w:t>. Liaukinės ląstelės po histerektomijos</w:t>
      </w:r>
    </w:p>
    <w:p w:rsidR="004905BC" w:rsidRDefault="00064C81">
      <w:pPr>
        <w:tabs>
          <w:tab w:val="left" w:pos="270"/>
        </w:tabs>
        <w:ind w:firstLine="709"/>
        <w:jc w:val="both"/>
      </w:pPr>
      <w:r>
        <w:t>31.2.1.1.5</w:t>
      </w:r>
      <w:r>
        <w:t>. Atrofija</w:t>
      </w:r>
    </w:p>
    <w:bookmarkEnd w:id="0" w:displacedByCustomXml="next"/>
    <w:p w:rsidR="004905BC" w:rsidRDefault="00064C81">
      <w:pPr>
        <w:tabs>
          <w:tab w:val="left" w:pos="270"/>
        </w:tabs>
        <w:ind w:firstLine="709"/>
        <w:jc w:val="both"/>
      </w:pPr>
      <w:r>
        <w:t>31.2.2</w:t>
      </w:r>
      <w:r>
        <w:t>. Epitelio ląstelių pokyčiai</w:t>
      </w:r>
    </w:p>
    <w:p w:rsidR="004905BC" w:rsidRDefault="00064C81">
      <w:pPr>
        <w:tabs>
          <w:tab w:val="left" w:pos="270"/>
        </w:tabs>
        <w:ind w:firstLine="709"/>
        <w:jc w:val="both"/>
      </w:pPr>
      <w:r>
        <w:t>31.2.2.1</w:t>
      </w:r>
      <w:r>
        <w:t>. Plokščiojo epitelio ląstelių</w:t>
      </w:r>
    </w:p>
    <w:p w:rsidR="004905BC" w:rsidRDefault="00064C81">
      <w:pPr>
        <w:tabs>
          <w:tab w:val="left" w:pos="270"/>
        </w:tabs>
        <w:ind w:left="1" w:firstLine="709"/>
        <w:jc w:val="both"/>
      </w:pPr>
      <w:r>
        <w:t>31.2.2.1.1</w:t>
      </w:r>
      <w:r>
        <w:t xml:space="preserve">. Atipinės </w:t>
      </w:r>
      <w:r>
        <w:t>plokščiojo epitelio ląstelės (ASC):</w:t>
      </w:r>
    </w:p>
    <w:p w:rsidR="004905BC" w:rsidRDefault="00064C81">
      <w:pPr>
        <w:tabs>
          <w:tab w:val="left" w:pos="270"/>
        </w:tabs>
        <w:ind w:firstLine="709"/>
        <w:jc w:val="both"/>
      </w:pPr>
      <w:r>
        <w:t>31.2.2.1.1.1</w:t>
      </w:r>
      <w:r>
        <w:t>. nenustatytos reikšmės (ASC-US)</w:t>
      </w:r>
    </w:p>
    <w:p w:rsidR="004905BC" w:rsidRDefault="00064C81">
      <w:pPr>
        <w:tabs>
          <w:tab w:val="left" w:pos="270"/>
        </w:tabs>
        <w:ind w:firstLine="709"/>
        <w:jc w:val="both"/>
      </w:pPr>
      <w:r>
        <w:t>31.2.2.1.1.2</w:t>
      </w:r>
      <w:r>
        <w:t>. galimi žymūs plokščialąsteliniai intraepiteliniai pokyčiai, HSIL (ASC-H)</w:t>
      </w:r>
    </w:p>
    <w:p w:rsidR="004905BC" w:rsidRDefault="00064C81">
      <w:pPr>
        <w:tabs>
          <w:tab w:val="left" w:pos="270"/>
        </w:tabs>
        <w:ind w:firstLine="709"/>
        <w:jc w:val="both"/>
      </w:pPr>
      <w:r>
        <w:t>31.2.2.1.2</w:t>
      </w:r>
      <w:r>
        <w:t xml:space="preserve"> Nežymūs intraepiteliniai plokčialąsteliniai pokyčiai (LSIL): ŽPV/</w:t>
      </w:r>
      <w:r>
        <w:t>neryški displazija/ intraepitelinė gimdos kaklelio neoplazija (CIN1)</w:t>
      </w:r>
    </w:p>
    <w:p w:rsidR="004905BC" w:rsidRDefault="00064C81">
      <w:pPr>
        <w:tabs>
          <w:tab w:val="left" w:pos="270"/>
        </w:tabs>
        <w:ind w:firstLine="709"/>
        <w:jc w:val="both"/>
      </w:pPr>
      <w:r>
        <w:t>31.2.2.1.3</w:t>
      </w:r>
      <w:r>
        <w:t xml:space="preserve">. Žymūs plokščialąsteliniai intraepiteliniai pokyčiai (HSIL): vidutinė, ryški displazija, </w:t>
      </w:r>
      <w:r>
        <w:rPr>
          <w:i/>
        </w:rPr>
        <w:t>carcinoma in situ</w:t>
      </w:r>
      <w:r>
        <w:t>; intraepitelinė gimdos kaklelio neoplazija (CIN2, CIN3, CIS)</w:t>
      </w:r>
    </w:p>
    <w:p w:rsidR="004905BC" w:rsidRDefault="00064C81">
      <w:pPr>
        <w:tabs>
          <w:tab w:val="left" w:pos="270"/>
        </w:tabs>
        <w:ind w:firstLine="709"/>
        <w:jc w:val="both"/>
      </w:pPr>
      <w:r>
        <w:t>31</w:t>
      </w:r>
      <w:r>
        <w:t>.2.2.1.4</w:t>
      </w:r>
      <w:r>
        <w:t>. Plokščialąstelinė karcinoma</w:t>
      </w:r>
    </w:p>
    <w:p w:rsidR="004905BC" w:rsidRDefault="00064C81">
      <w:pPr>
        <w:tabs>
          <w:tab w:val="left" w:pos="270"/>
        </w:tabs>
        <w:ind w:left="270" w:firstLine="709"/>
        <w:jc w:val="both"/>
      </w:pPr>
      <w:r>
        <w:t>31.2.2.2</w:t>
      </w:r>
      <w:r>
        <w:t>. Liaukinio epitelio ląstelių</w:t>
      </w:r>
    </w:p>
    <w:p w:rsidR="004905BC" w:rsidRDefault="00064C81">
      <w:pPr>
        <w:tabs>
          <w:tab w:val="left" w:pos="270"/>
        </w:tabs>
        <w:ind w:firstLine="709"/>
        <w:jc w:val="both"/>
      </w:pPr>
      <w:r>
        <w:t>31.2.2.2.1</w:t>
      </w:r>
      <w:r>
        <w:t>. Atipinės liaukinės ląstelės (AGC), klasifikuojamos kaip endocervikalinės, endometriumo ar neklasifikuojamos</w:t>
      </w:r>
    </w:p>
    <w:p w:rsidR="004905BC" w:rsidRDefault="00064C81">
      <w:pPr>
        <w:tabs>
          <w:tab w:val="left" w:pos="270"/>
        </w:tabs>
        <w:ind w:firstLine="709"/>
        <w:jc w:val="both"/>
      </w:pPr>
      <w:r>
        <w:t>31.2.2.2.2</w:t>
      </w:r>
      <w:r>
        <w:t>. Atipinės liaukinės ląstelės (AGC),</w:t>
      </w:r>
      <w:r>
        <w:t xml:space="preserve"> gali būti piktybinės ir klasifikuojamos kaip endocervikalinės, endometriumo ar neklasifikuojamos</w:t>
      </w:r>
    </w:p>
    <w:p w:rsidR="004905BC" w:rsidRDefault="00064C81">
      <w:pPr>
        <w:tabs>
          <w:tab w:val="left" w:pos="270"/>
        </w:tabs>
        <w:ind w:firstLine="709"/>
        <w:jc w:val="both"/>
      </w:pPr>
      <w:r>
        <w:t>31.2.2.2.3</w:t>
      </w:r>
      <w:r>
        <w:t xml:space="preserve">. Endocervikalinė </w:t>
      </w:r>
      <w:r>
        <w:rPr>
          <w:i/>
        </w:rPr>
        <w:t>adenocarcinoma in situ</w:t>
      </w:r>
      <w:r>
        <w:t xml:space="preserve"> (AIS)</w:t>
      </w:r>
    </w:p>
    <w:p w:rsidR="004905BC" w:rsidRDefault="00064C81">
      <w:pPr>
        <w:tabs>
          <w:tab w:val="left" w:pos="270"/>
        </w:tabs>
        <w:ind w:firstLine="709"/>
        <w:jc w:val="both"/>
      </w:pPr>
      <w:r>
        <w:t>31.2.2.2.4</w:t>
      </w:r>
      <w:r>
        <w:t>. Adenokarcinoma</w:t>
      </w:r>
    </w:p>
    <w:p w:rsidR="004905BC" w:rsidRDefault="00064C81">
      <w:pPr>
        <w:tabs>
          <w:tab w:val="left" w:pos="270"/>
        </w:tabs>
        <w:ind w:firstLine="709"/>
        <w:jc w:val="both"/>
      </w:pPr>
      <w:r>
        <w:t>31.2.3</w:t>
      </w:r>
      <w:r>
        <w:t>. Kiti pokyčiai:</w:t>
      </w:r>
    </w:p>
    <w:p w:rsidR="004905BC" w:rsidRDefault="00064C81">
      <w:pPr>
        <w:tabs>
          <w:tab w:val="left" w:pos="270"/>
        </w:tabs>
        <w:ind w:firstLine="709"/>
        <w:jc w:val="both"/>
      </w:pPr>
      <w:r>
        <w:t>31.2.3.1</w:t>
      </w:r>
      <w:r>
        <w:t>. 40 m. bei vyresnio amži</w:t>
      </w:r>
      <w:r>
        <w:t>aus moterų endometriumo ląstelės</w:t>
      </w:r>
    </w:p>
    <w:p w:rsidR="004905BC" w:rsidRDefault="00064C81">
      <w:pPr>
        <w:tabs>
          <w:tab w:val="left" w:pos="270"/>
        </w:tabs>
        <w:ind w:firstLine="709"/>
        <w:jc w:val="both"/>
      </w:pPr>
      <w:r>
        <w:t>31.2.3.2</w:t>
      </w:r>
      <w:r>
        <w:t>. Kiti piktybiniai navikai</w:t>
      </w:r>
    </w:p>
    <w:p w:rsidR="004905BC" w:rsidRDefault="00064C81">
      <w:pPr>
        <w:tabs>
          <w:tab w:val="left" w:pos="270"/>
        </w:tabs>
        <w:ind w:firstLine="709"/>
        <w:jc w:val="both"/>
      </w:pPr>
      <w:r>
        <w:t>31.3</w:t>
      </w:r>
      <w:r>
        <w:t>. Automatizuotos peržiūros ir papildomų tyrimų rezultatai</w:t>
      </w:r>
    </w:p>
    <w:p w:rsidR="004905BC" w:rsidRDefault="00064C81">
      <w:pPr>
        <w:tabs>
          <w:tab w:val="left" w:pos="270"/>
          <w:tab w:val="num" w:pos="1260"/>
        </w:tabs>
        <w:ind w:firstLine="709"/>
        <w:jc w:val="both"/>
      </w:pPr>
      <w:r>
        <w:t>31.4</w:t>
      </w:r>
      <w:r>
        <w:t>. Pastabos, rekomendacijos ir komentarai (pasirinktinai)</w:t>
      </w:r>
    </w:p>
    <w:p w:rsidR="004905BC" w:rsidRDefault="00064C81">
      <w:pPr>
        <w:ind w:firstLine="709"/>
        <w:jc w:val="both"/>
      </w:pPr>
      <w:r>
        <w:t>32</w:t>
      </w:r>
      <w:r>
        <w:t xml:space="preserve">. Patikros efektyvumą gerina atitinkamas </w:t>
      </w:r>
      <w:r>
        <w:t xml:space="preserve">moterų, kurioms nustatyta citologinė patologija, gydymas ir priežiūra. Toliau pateikiamose schemose pateikiami algoritmai – galimi moterų, kurioms aptikti gimdos kaklelio patologiniai citologiniai ir histologiniai radiniai, priežiūros </w:t>
      </w:r>
      <w:r>
        <w:lastRenderedPageBreak/>
        <w:t>pavyzdžiai (pagal Ame</w:t>
      </w:r>
      <w:r>
        <w:t>rikos kolposkopijos ir gimdos kaklelio patologijos draugijos (ASCCP) 2002 m., 2003 m. rekomendacijas). Jie parengti atsižvelgiant į naują 2001 m. Bethesdos sistemos gimdos kaklelio citologinių diagnozių terminiją, mokslinių tyrimų duomenis apie ŽPV vaidmen</w:t>
      </w:r>
      <w:r>
        <w:t>į gimdos kaklelio vėžio patogenezėje bei naujausius jautrius citologinio tyrimo bei molekulinės biologijos metodus, nustatant didelės rizikos ŽPV tipus.</w:t>
      </w:r>
    </w:p>
    <w:p w:rsidR="004905BC" w:rsidRDefault="00064C81">
      <w:pPr>
        <w:ind w:firstLine="709"/>
        <w:jc w:val="both"/>
      </w:pPr>
    </w:p>
    <w:p w:rsidR="004905BC" w:rsidRDefault="00064C81">
      <w:pPr>
        <w:jc w:val="center"/>
        <w:rPr>
          <w:b/>
        </w:rPr>
      </w:pPr>
      <w:r>
        <w:rPr>
          <w:b/>
        </w:rPr>
        <w:t>VII</w:t>
      </w:r>
      <w:r>
        <w:rPr>
          <w:b/>
        </w:rPr>
        <w:t xml:space="preserve">. </w:t>
      </w:r>
      <w:r>
        <w:rPr>
          <w:b/>
        </w:rPr>
        <w:t>ATRANKINĖS PATIKROS DĖL GIMDOS KAKLELIO PATOLOGIJOS PROGRAMOS VYKDYMO DUOMENŲ REGISTRACIJA</w:t>
      </w:r>
    </w:p>
    <w:p w:rsidR="004905BC" w:rsidRDefault="004905BC">
      <w:pPr>
        <w:ind w:firstLine="709"/>
        <w:rPr>
          <w:b/>
        </w:rPr>
      </w:pPr>
    </w:p>
    <w:p w:rsidR="004905BC" w:rsidRDefault="00064C81">
      <w:pPr>
        <w:ind w:firstLine="709"/>
        <w:jc w:val="both"/>
      </w:pPr>
      <w:r>
        <w:t>33</w:t>
      </w:r>
      <w:r>
        <w:t>. Duomenys registruojami ASPĮ, kaupiami TLK, VLK, VR.</w:t>
      </w:r>
    </w:p>
    <w:p w:rsidR="004905BC" w:rsidRDefault="00064C81">
      <w:pPr>
        <w:ind w:firstLine="709"/>
        <w:jc w:val="both"/>
      </w:pPr>
      <w:r>
        <w:t>33.1</w:t>
      </w:r>
      <w:r>
        <w:t>. VLK teikia VR duomenis apie gimdos kaklelio piktybinių navikų profilaktikos paslaugas, gimdos kaklelio citologinio tepinėlio paėmimo ir rezultatų vertinimo paslaugas bei gimdos kaklelio c</w:t>
      </w:r>
      <w:r>
        <w:t>itologinio tepinėlio ištyrimo paslaugas elektroninėse laikmenose.</w:t>
      </w:r>
    </w:p>
    <w:p w:rsidR="004905BC" w:rsidRDefault="00064C81">
      <w:pPr>
        <w:ind w:firstLine="709"/>
        <w:jc w:val="both"/>
      </w:pPr>
      <w:r>
        <w:t>33.2</w:t>
      </w:r>
      <w:r>
        <w:t>. VR kaupia gautus duomenis, sistemina, analizuoja bei 1 kartą per pusmetį pateikia programos koordinavimo komitetui trumpą duomenų suvestinę.</w:t>
      </w:r>
    </w:p>
    <w:p w:rsidR="004905BC" w:rsidRDefault="00064C81">
      <w:pPr>
        <w:ind w:firstLine="709"/>
        <w:jc w:val="both"/>
      </w:pPr>
      <w:r>
        <w:t>34</w:t>
      </w:r>
      <w:r>
        <w:t>. Programos koordinavimo komite</w:t>
      </w:r>
      <w:r>
        <w:t>tas įvertina gautus rezultatus ir teikia argumentuotus pasiūlymus, jei yra būtinybė keisti programos vykdymo priemones ar jų vykdymo tvarką.</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w:t>
      </w:r>
      <w:r>
        <w:rPr>
          <w:b/>
        </w:rPr>
        <w:t xml:space="preserve">. </w:t>
      </w:r>
      <w:r>
        <w:rPr>
          <w:b/>
        </w:rPr>
        <w:t>GIMDOS KAKLELIO PATOLOGIJOS ATRANKINĖS PATIKROS PROGRAMOS VERTINIMAS IR STEBĖSENA</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35</w:t>
      </w:r>
      <w:r>
        <w:t>. Programos e</w:t>
      </w:r>
      <w:r>
        <w:t>fektyvumo vertinimas.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35.1</w:t>
      </w:r>
      <w:r>
        <w:t xml:space="preserve">. Atliekant Lietuvoje gimdos kaklelio patologijos atrankinės patikros programą siekiama sumažinti sergamumą gimdos kaklelio vėžiu ir mirtingumą nuo jo. Vadovaujantis įvairių pasaulio šalių duomenimis, įdiegus minėtas programas, </w:t>
      </w:r>
      <w:r>
        <w:t>sergamumą gimdos kaklelio vėžiu galima sumažinti 30–70%, mirtingumą – apie 30% per 5 metus.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35.2</w:t>
      </w:r>
      <w:r>
        <w:t>. Įvairių gimdos kaklelio vėžio patikros programų efektyvumas – sergamumo sumažėjimas parodytas 1 lentelėje.</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r>
        <w:rPr>
          <w:u w:val="single"/>
        </w:rPr>
        <w:t xml:space="preserve"> lentelė. Sergamumo gimdos kaklelio vėžiu priklausomybė nuo Pap tepinėlio ėmimo dažnio</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pPr>
      <w:r>
        <w:rPr>
          <w:sz w:val="20"/>
        </w:rPr>
        <w:t>(www.cancer-network.de)</w:t>
      </w:r>
    </w:p>
    <w:tbl>
      <w:tblPr>
        <w:tblW w:w="9637" w:type="dxa"/>
        <w:tblLayout w:type="fixed"/>
        <w:tblLook w:val="01E0" w:firstRow="1" w:lastRow="1" w:firstColumn="1" w:lastColumn="1" w:noHBand="0" w:noVBand="0"/>
      </w:tblPr>
      <w:tblGrid>
        <w:gridCol w:w="2422"/>
        <w:gridCol w:w="2504"/>
        <w:gridCol w:w="2415"/>
        <w:gridCol w:w="2296"/>
      </w:tblGrid>
      <w:tr w:rsidR="004905BC">
        <w:tc>
          <w:tcPr>
            <w:tcW w:w="2421" w:type="dxa"/>
            <w:tcBorders>
              <w:top w:val="single" w:sz="4" w:space="0" w:color="auto"/>
              <w:left w:val="nil"/>
              <w:bottom w:val="single" w:sz="4" w:space="0" w:color="auto"/>
              <w:right w:val="single" w:sz="4" w:space="0" w:color="auto"/>
            </w:tcBorders>
          </w:tcPr>
          <w:p w:rsidR="004905BC" w:rsidRDefault="00064C81">
            <w:pPr>
              <w:jc w:val="center"/>
              <w:rPr>
                <w:sz w:val="20"/>
              </w:rPr>
            </w:pPr>
            <w:r>
              <w:rPr>
                <w:sz w:val="20"/>
              </w:rPr>
              <w:t>Tepinėlio ėmimo dažnis</w:t>
            </w:r>
          </w:p>
        </w:tc>
        <w:tc>
          <w:tcPr>
            <w:tcW w:w="2502"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Amžiaus grupės</w:t>
            </w:r>
          </w:p>
        </w:tc>
        <w:tc>
          <w:tcPr>
            <w:tcW w:w="2413"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 xml:space="preserve">Sergamumo sumažėjimas </w:t>
            </w:r>
            <w:r>
              <w:rPr>
                <w:sz w:val="20"/>
              </w:rPr>
              <w:sym w:font="Symbol" w:char="0025"/>
            </w:r>
            <w:r>
              <w:rPr>
                <w:sz w:val="20"/>
              </w:rPr>
              <w:t xml:space="preserve"> amžiaus grupėje</w:t>
            </w:r>
          </w:p>
        </w:tc>
        <w:tc>
          <w:tcPr>
            <w:tcW w:w="2294" w:type="dxa"/>
            <w:tcBorders>
              <w:top w:val="single" w:sz="4" w:space="0" w:color="auto"/>
              <w:left w:val="single" w:sz="4" w:space="0" w:color="auto"/>
              <w:bottom w:val="single" w:sz="4" w:space="0" w:color="auto"/>
              <w:right w:val="nil"/>
            </w:tcBorders>
          </w:tcPr>
          <w:p w:rsidR="004905BC" w:rsidRDefault="00064C81">
            <w:pPr>
              <w:jc w:val="center"/>
              <w:rPr>
                <w:sz w:val="20"/>
              </w:rPr>
            </w:pPr>
            <w:r>
              <w:rPr>
                <w:sz w:val="20"/>
              </w:rPr>
              <w:t>Tepinėlių skaičius moteriai</w:t>
            </w:r>
          </w:p>
        </w:tc>
      </w:tr>
      <w:tr w:rsidR="004905BC">
        <w:tc>
          <w:tcPr>
            <w:tcW w:w="2421" w:type="dxa"/>
            <w:tcBorders>
              <w:top w:val="single" w:sz="4" w:space="0" w:color="auto"/>
              <w:left w:val="nil"/>
              <w:bottom w:val="nil"/>
              <w:right w:val="single" w:sz="4" w:space="0" w:color="auto"/>
            </w:tcBorders>
          </w:tcPr>
          <w:p w:rsidR="004905BC" w:rsidRDefault="00064C81">
            <w:pPr>
              <w:jc w:val="both"/>
              <w:rPr>
                <w:sz w:val="20"/>
              </w:rPr>
            </w:pPr>
            <w:r>
              <w:rPr>
                <w:sz w:val="20"/>
              </w:rPr>
              <w:t>Kas 10 m.</w:t>
            </w:r>
          </w:p>
        </w:tc>
        <w:tc>
          <w:tcPr>
            <w:tcW w:w="2502" w:type="dxa"/>
            <w:tcBorders>
              <w:top w:val="single" w:sz="4" w:space="0" w:color="auto"/>
              <w:left w:val="single" w:sz="4" w:space="0" w:color="auto"/>
              <w:bottom w:val="nil"/>
              <w:right w:val="single" w:sz="4" w:space="0" w:color="auto"/>
            </w:tcBorders>
          </w:tcPr>
          <w:p w:rsidR="004905BC" w:rsidRDefault="00064C81">
            <w:pPr>
              <w:jc w:val="center"/>
              <w:rPr>
                <w:sz w:val="20"/>
              </w:rPr>
            </w:pPr>
            <w:r>
              <w:rPr>
                <w:sz w:val="20"/>
              </w:rPr>
              <w:t>25–64 m.</w:t>
            </w:r>
          </w:p>
        </w:tc>
        <w:tc>
          <w:tcPr>
            <w:tcW w:w="2413" w:type="dxa"/>
            <w:tcBorders>
              <w:top w:val="single" w:sz="4" w:space="0" w:color="auto"/>
              <w:left w:val="single" w:sz="4" w:space="0" w:color="auto"/>
              <w:bottom w:val="nil"/>
              <w:right w:val="single" w:sz="4" w:space="0" w:color="auto"/>
            </w:tcBorders>
          </w:tcPr>
          <w:p w:rsidR="004905BC" w:rsidRDefault="00064C81">
            <w:pPr>
              <w:jc w:val="center"/>
              <w:rPr>
                <w:sz w:val="20"/>
              </w:rPr>
            </w:pPr>
            <w:r>
              <w:rPr>
                <w:sz w:val="20"/>
              </w:rPr>
              <w:t>64</w:t>
            </w:r>
          </w:p>
        </w:tc>
        <w:tc>
          <w:tcPr>
            <w:tcW w:w="2294" w:type="dxa"/>
            <w:tcBorders>
              <w:top w:val="single" w:sz="4" w:space="0" w:color="auto"/>
              <w:left w:val="single" w:sz="4" w:space="0" w:color="auto"/>
              <w:bottom w:val="nil"/>
              <w:right w:val="nil"/>
            </w:tcBorders>
          </w:tcPr>
          <w:p w:rsidR="004905BC" w:rsidRDefault="00064C81">
            <w:pPr>
              <w:jc w:val="center"/>
              <w:rPr>
                <w:sz w:val="20"/>
              </w:rPr>
            </w:pPr>
            <w:r>
              <w:rPr>
                <w:sz w:val="20"/>
              </w:rPr>
              <w:t>5</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Kas 5 m.</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35–64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70</w:t>
            </w:r>
          </w:p>
        </w:tc>
        <w:tc>
          <w:tcPr>
            <w:tcW w:w="2294" w:type="dxa"/>
            <w:tcBorders>
              <w:top w:val="nil"/>
              <w:left w:val="single" w:sz="4" w:space="0" w:color="auto"/>
              <w:bottom w:val="nil"/>
              <w:right w:val="nil"/>
            </w:tcBorders>
          </w:tcPr>
          <w:p w:rsidR="004905BC" w:rsidRDefault="00064C81">
            <w:pPr>
              <w:jc w:val="center"/>
              <w:rPr>
                <w:sz w:val="20"/>
              </w:rPr>
            </w:pPr>
            <w:r>
              <w:rPr>
                <w:sz w:val="20"/>
              </w:rPr>
              <w:t>6</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 xml:space="preserve">Kas 5 m. </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25–64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82</w:t>
            </w:r>
          </w:p>
        </w:tc>
        <w:tc>
          <w:tcPr>
            <w:tcW w:w="2294" w:type="dxa"/>
            <w:tcBorders>
              <w:top w:val="nil"/>
              <w:left w:val="single" w:sz="4" w:space="0" w:color="auto"/>
              <w:bottom w:val="nil"/>
              <w:right w:val="nil"/>
            </w:tcBorders>
          </w:tcPr>
          <w:p w:rsidR="004905BC" w:rsidRDefault="00064C81">
            <w:pPr>
              <w:jc w:val="center"/>
              <w:rPr>
                <w:sz w:val="20"/>
              </w:rPr>
            </w:pPr>
            <w:r>
              <w:rPr>
                <w:sz w:val="20"/>
              </w:rPr>
              <w:t>8</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Kas 5 m.</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20–64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84</w:t>
            </w:r>
          </w:p>
        </w:tc>
        <w:tc>
          <w:tcPr>
            <w:tcW w:w="2294" w:type="dxa"/>
            <w:tcBorders>
              <w:top w:val="nil"/>
              <w:left w:val="single" w:sz="4" w:space="0" w:color="auto"/>
              <w:bottom w:val="nil"/>
              <w:right w:val="nil"/>
            </w:tcBorders>
          </w:tcPr>
          <w:p w:rsidR="004905BC" w:rsidRDefault="00064C81">
            <w:pPr>
              <w:jc w:val="center"/>
              <w:rPr>
                <w:sz w:val="20"/>
              </w:rPr>
            </w:pPr>
            <w:r>
              <w:rPr>
                <w:sz w:val="20"/>
              </w:rPr>
              <w:t>9</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Kas 3 m.</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35–64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78</w:t>
            </w:r>
          </w:p>
        </w:tc>
        <w:tc>
          <w:tcPr>
            <w:tcW w:w="2294" w:type="dxa"/>
            <w:tcBorders>
              <w:top w:val="nil"/>
              <w:left w:val="single" w:sz="4" w:space="0" w:color="auto"/>
              <w:bottom w:val="nil"/>
              <w:right w:val="nil"/>
            </w:tcBorders>
          </w:tcPr>
          <w:p w:rsidR="004905BC" w:rsidRDefault="00064C81">
            <w:pPr>
              <w:jc w:val="center"/>
              <w:rPr>
                <w:sz w:val="20"/>
              </w:rPr>
            </w:pPr>
            <w:r>
              <w:rPr>
                <w:sz w:val="20"/>
              </w:rPr>
              <w:t>10</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Kas 3 m.</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25–64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90</w:t>
            </w:r>
          </w:p>
        </w:tc>
        <w:tc>
          <w:tcPr>
            <w:tcW w:w="2294" w:type="dxa"/>
            <w:tcBorders>
              <w:top w:val="nil"/>
              <w:left w:val="single" w:sz="4" w:space="0" w:color="auto"/>
              <w:bottom w:val="nil"/>
              <w:right w:val="nil"/>
            </w:tcBorders>
          </w:tcPr>
          <w:p w:rsidR="004905BC" w:rsidRDefault="00064C81">
            <w:pPr>
              <w:jc w:val="center"/>
              <w:rPr>
                <w:sz w:val="20"/>
              </w:rPr>
            </w:pPr>
            <w:r>
              <w:rPr>
                <w:sz w:val="20"/>
              </w:rPr>
              <w:t>13</w:t>
            </w:r>
          </w:p>
        </w:tc>
      </w:tr>
      <w:tr w:rsidR="004905BC">
        <w:tc>
          <w:tcPr>
            <w:tcW w:w="2421" w:type="dxa"/>
            <w:tcBorders>
              <w:top w:val="nil"/>
              <w:left w:val="nil"/>
              <w:bottom w:val="nil"/>
              <w:right w:val="single" w:sz="4" w:space="0" w:color="auto"/>
            </w:tcBorders>
          </w:tcPr>
          <w:p w:rsidR="004905BC" w:rsidRDefault="00064C81">
            <w:pPr>
              <w:jc w:val="both"/>
              <w:rPr>
                <w:sz w:val="20"/>
              </w:rPr>
            </w:pPr>
            <w:r>
              <w:rPr>
                <w:sz w:val="20"/>
              </w:rPr>
              <w:t>Kas 3 m.</w:t>
            </w:r>
          </w:p>
        </w:tc>
        <w:tc>
          <w:tcPr>
            <w:tcW w:w="2502" w:type="dxa"/>
            <w:tcBorders>
              <w:top w:val="nil"/>
              <w:left w:val="single" w:sz="4" w:space="0" w:color="auto"/>
              <w:bottom w:val="nil"/>
              <w:right w:val="single" w:sz="4" w:space="0" w:color="auto"/>
            </w:tcBorders>
          </w:tcPr>
          <w:p w:rsidR="004905BC" w:rsidRDefault="00064C81">
            <w:pPr>
              <w:jc w:val="center"/>
              <w:rPr>
                <w:sz w:val="20"/>
              </w:rPr>
            </w:pPr>
            <w:r>
              <w:rPr>
                <w:sz w:val="20"/>
              </w:rPr>
              <w:t>20–64 m.</w:t>
            </w:r>
          </w:p>
        </w:tc>
        <w:tc>
          <w:tcPr>
            <w:tcW w:w="2413" w:type="dxa"/>
            <w:tcBorders>
              <w:top w:val="nil"/>
              <w:left w:val="single" w:sz="4" w:space="0" w:color="auto"/>
              <w:bottom w:val="nil"/>
              <w:right w:val="single" w:sz="4" w:space="0" w:color="auto"/>
            </w:tcBorders>
          </w:tcPr>
          <w:p w:rsidR="004905BC" w:rsidRDefault="00064C81">
            <w:pPr>
              <w:jc w:val="center"/>
              <w:rPr>
                <w:sz w:val="20"/>
              </w:rPr>
            </w:pPr>
            <w:r>
              <w:rPr>
                <w:sz w:val="20"/>
              </w:rPr>
              <w:t>91</w:t>
            </w:r>
          </w:p>
        </w:tc>
        <w:tc>
          <w:tcPr>
            <w:tcW w:w="2294" w:type="dxa"/>
            <w:tcBorders>
              <w:top w:val="nil"/>
              <w:left w:val="single" w:sz="4" w:space="0" w:color="auto"/>
              <w:bottom w:val="nil"/>
              <w:right w:val="nil"/>
            </w:tcBorders>
          </w:tcPr>
          <w:p w:rsidR="004905BC" w:rsidRDefault="00064C81">
            <w:pPr>
              <w:jc w:val="center"/>
              <w:rPr>
                <w:sz w:val="20"/>
              </w:rPr>
            </w:pPr>
            <w:r>
              <w:rPr>
                <w:sz w:val="20"/>
              </w:rPr>
              <w:t>15</w:t>
            </w:r>
          </w:p>
        </w:tc>
      </w:tr>
      <w:tr w:rsidR="004905BC">
        <w:tc>
          <w:tcPr>
            <w:tcW w:w="2421" w:type="dxa"/>
            <w:tcBorders>
              <w:top w:val="nil"/>
              <w:left w:val="nil"/>
              <w:bottom w:val="single" w:sz="4" w:space="0" w:color="auto"/>
              <w:right w:val="single" w:sz="4" w:space="0" w:color="auto"/>
            </w:tcBorders>
          </w:tcPr>
          <w:p w:rsidR="004905BC" w:rsidRDefault="00064C81">
            <w:pPr>
              <w:jc w:val="both"/>
              <w:rPr>
                <w:sz w:val="20"/>
              </w:rPr>
            </w:pPr>
            <w:r>
              <w:rPr>
                <w:sz w:val="20"/>
              </w:rPr>
              <w:t>Kasmet</w:t>
            </w:r>
          </w:p>
        </w:tc>
        <w:tc>
          <w:tcPr>
            <w:tcW w:w="2502" w:type="dxa"/>
            <w:tcBorders>
              <w:top w:val="nil"/>
              <w:left w:val="single" w:sz="4" w:space="0" w:color="auto"/>
              <w:bottom w:val="single" w:sz="4" w:space="0" w:color="auto"/>
              <w:right w:val="single" w:sz="4" w:space="0" w:color="auto"/>
            </w:tcBorders>
          </w:tcPr>
          <w:p w:rsidR="004905BC" w:rsidRDefault="00064C81">
            <w:pPr>
              <w:jc w:val="center"/>
              <w:rPr>
                <w:sz w:val="20"/>
              </w:rPr>
            </w:pPr>
            <w:r>
              <w:rPr>
                <w:sz w:val="20"/>
              </w:rPr>
              <w:t>20–64 m.</w:t>
            </w:r>
          </w:p>
        </w:tc>
        <w:tc>
          <w:tcPr>
            <w:tcW w:w="2413" w:type="dxa"/>
            <w:tcBorders>
              <w:top w:val="nil"/>
              <w:left w:val="single" w:sz="4" w:space="0" w:color="auto"/>
              <w:bottom w:val="single" w:sz="4" w:space="0" w:color="auto"/>
              <w:right w:val="single" w:sz="4" w:space="0" w:color="auto"/>
            </w:tcBorders>
          </w:tcPr>
          <w:p w:rsidR="004905BC" w:rsidRDefault="00064C81">
            <w:pPr>
              <w:jc w:val="center"/>
              <w:rPr>
                <w:sz w:val="20"/>
              </w:rPr>
            </w:pPr>
            <w:r>
              <w:rPr>
                <w:sz w:val="20"/>
              </w:rPr>
              <w:t>93</w:t>
            </w:r>
          </w:p>
        </w:tc>
        <w:tc>
          <w:tcPr>
            <w:tcW w:w="2294" w:type="dxa"/>
            <w:tcBorders>
              <w:top w:val="nil"/>
              <w:left w:val="single" w:sz="4" w:space="0" w:color="auto"/>
              <w:bottom w:val="single" w:sz="4" w:space="0" w:color="auto"/>
              <w:right w:val="nil"/>
            </w:tcBorders>
          </w:tcPr>
          <w:p w:rsidR="004905BC" w:rsidRDefault="00064C81">
            <w:pPr>
              <w:jc w:val="center"/>
              <w:rPr>
                <w:sz w:val="20"/>
              </w:rPr>
            </w:pPr>
            <w:r>
              <w:rPr>
                <w:sz w:val="20"/>
              </w:rPr>
              <w:t>45</w:t>
            </w:r>
          </w:p>
        </w:tc>
      </w:tr>
    </w:tbl>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35.3</w:t>
      </w:r>
      <w:r>
        <w:t xml:space="preserve">. Patikros programų, vykdomų įvairiose šalyse, efektyvumas skiriasi. Efektyvumas </w:t>
      </w:r>
      <w:r>
        <w:t>svyruoja dėl nepakankamos patikros poveikio apimties, patikros kokybės bei standartų kintamumo. Patikros</w:t>
      </w:r>
      <w:r>
        <w:rPr>
          <w:i/>
        </w:rPr>
        <w:t xml:space="preserve"> </w:t>
      </w:r>
      <w:r>
        <w:t>programos efektyvumą sąlygoja kokybiškas visų jos komponentų funkcionavimas ir kontrolė.</w:t>
      </w:r>
    </w:p>
    <w:p w:rsidR="004905BC" w:rsidRDefault="00064C81">
      <w:pPr>
        <w:keepNex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7"/>
        <w:rPr>
          <w:lang w:eastAsia="lt-LT"/>
        </w:rPr>
      </w:pPr>
      <w:r>
        <w:rPr>
          <w:lang w:eastAsia="lt-LT"/>
        </w:rPr>
        <w:t>36</w:t>
      </w:r>
      <w:r>
        <w:rPr>
          <w:lang w:eastAsia="lt-LT"/>
        </w:rPr>
        <w:t>. Stebėsena.</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36.1</w:t>
      </w:r>
      <w:r>
        <w:t xml:space="preserve">. Analizuojamas sergamumas ir </w:t>
      </w:r>
      <w:r>
        <w:t>mirtingumas laiko ir vietos atžvilgiu (akcentuojant pokyčių dinamiką savivaldybėse).</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36.2</w:t>
      </w:r>
      <w:r>
        <w:t>. Analizuojamas tiriamojo kontingento dalyvavimo patikroje aktyvumas.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36.3</w:t>
      </w:r>
      <w:r>
        <w:t xml:space="preserve">. Stebėsenos rezultatus vertina savivaldybės gydytojo tarnyba (PASPĮ veiklą) bei </w:t>
      </w:r>
      <w:r>
        <w:t>Vėžio registras (šalies mastu).</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w:t>
      </w:r>
      <w:r>
        <w:rPr>
          <w:b/>
        </w:rPr>
        <w:t xml:space="preserve">. </w:t>
      </w:r>
      <w:r>
        <w:rPr>
          <w:b/>
        </w:rPr>
        <w:t>GIMDOS KAKLELIO PATOLOGIJOS ATRANKINĖS PATIKROS PROGRAMOS VYKDYMO KOKYBĖS KONTROLĖ</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37</w:t>
      </w:r>
      <w:r>
        <w:t>. Visų patikros komponentų darbo kokybės ir programos reikalavimų laikymąsi (vykdytojų kvalifikacija, standartizuotų tyri</w:t>
      </w:r>
      <w:r>
        <w:t>mų metodikų laikymasis, atrankos tikslumas, bendros dokumentacijos tvarkymas ir kt.). kontroliuoja patikros programos kokybės kontrolės grupė.</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w:t>
      </w:r>
      <w:r>
        <w:t>r. 1</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KVIETIMO VEIKSMŲ SCHEMA IR REGISTRAVIMAS</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lang w:eastAsia="lt-LT"/>
        </w:rPr>
        <w:drawing>
          <wp:inline distT="0" distB="0" distL="0" distR="0" wp14:anchorId="3CC371DB" wp14:editId="30F3C07E">
            <wp:extent cx="5934075" cy="369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695700"/>
                    </a:xfrm>
                    <a:prstGeom prst="rect">
                      <a:avLst/>
                    </a:prstGeom>
                    <a:noFill/>
                    <a:ln>
                      <a:noFill/>
                    </a:ln>
                  </pic:spPr>
                </pic:pic>
              </a:graphicData>
            </a:graphic>
          </wp:inline>
        </w:drawing>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896"/>
        <w:gridCol w:w="1142"/>
        <w:gridCol w:w="960"/>
        <w:gridCol w:w="941"/>
        <w:gridCol w:w="960"/>
        <w:gridCol w:w="941"/>
        <w:gridCol w:w="960"/>
        <w:gridCol w:w="1689"/>
      </w:tblGrid>
      <w:tr w:rsidR="004905BC">
        <w:trPr>
          <w:cantSplit/>
          <w:trHeight w:val="454"/>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Pavardė, vardas</w:t>
            </w:r>
          </w:p>
        </w:tc>
        <w:tc>
          <w:tcPr>
            <w:tcW w:w="896" w:type="dxa"/>
            <w:vMerge w:val="restart"/>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Asmens kodas</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Adresas, telefonas</w:t>
            </w: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I pakvietimas</w:t>
            </w: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II pakvietimas</w:t>
            </w:r>
          </w:p>
        </w:tc>
        <w:tc>
          <w:tcPr>
            <w:tcW w:w="2649" w:type="dxa"/>
            <w:gridSpan w:val="2"/>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III pakvietimas</w:t>
            </w:r>
          </w:p>
        </w:tc>
      </w:tr>
      <w:tr w:rsidR="004905BC">
        <w:trPr>
          <w:cantSplit/>
        </w:trPr>
        <w:tc>
          <w:tcPr>
            <w:tcW w:w="1148" w:type="dxa"/>
            <w:vMerge/>
            <w:tcBorders>
              <w:top w:val="single" w:sz="4" w:space="0" w:color="auto"/>
              <w:left w:val="single" w:sz="4" w:space="0" w:color="auto"/>
              <w:bottom w:val="single" w:sz="4" w:space="0" w:color="auto"/>
              <w:right w:val="single" w:sz="4" w:space="0" w:color="auto"/>
            </w:tcBorders>
            <w:vAlign w:val="center"/>
          </w:tcPr>
          <w:p w:rsidR="004905BC" w:rsidRDefault="004905BC">
            <w:pPr>
              <w:rPr>
                <w:sz w:val="20"/>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4905BC" w:rsidRDefault="004905BC">
            <w:pPr>
              <w:rPr>
                <w:sz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905BC" w:rsidRDefault="004905BC">
            <w:pPr>
              <w:rPr>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kviesta</w:t>
            </w:r>
          </w:p>
        </w:tc>
        <w:tc>
          <w:tcPr>
            <w:tcW w:w="941"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atvyko</w:t>
            </w: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kviesta</w:t>
            </w:r>
          </w:p>
        </w:tc>
        <w:tc>
          <w:tcPr>
            <w:tcW w:w="941"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atvyko</w:t>
            </w: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kviesta</w:t>
            </w:r>
          </w:p>
        </w:tc>
        <w:tc>
          <w:tcPr>
            <w:tcW w:w="1689" w:type="dxa"/>
            <w:tcBorders>
              <w:top w:val="single" w:sz="4" w:space="0" w:color="auto"/>
              <w:left w:val="single" w:sz="4" w:space="0" w:color="auto"/>
              <w:bottom w:val="single" w:sz="4" w:space="0" w:color="auto"/>
              <w:right w:val="single" w:sz="4" w:space="0" w:color="auto"/>
            </w:tcBorders>
            <w:vAlign w:val="center"/>
          </w:tcPr>
          <w:p w:rsidR="004905BC" w:rsidRDefault="00064C81">
            <w:pPr>
              <w:jc w:val="center"/>
              <w:rPr>
                <w:sz w:val="20"/>
              </w:rPr>
            </w:pPr>
            <w:r>
              <w:rPr>
                <w:sz w:val="20"/>
              </w:rPr>
              <w:t>atvyko</w:t>
            </w:r>
          </w:p>
        </w:tc>
      </w:tr>
      <w:tr w:rsidR="004905BC">
        <w:tc>
          <w:tcPr>
            <w:tcW w:w="1148"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p w:rsidR="004905BC" w:rsidRDefault="004905BC">
            <w:pPr>
              <w:jc w:val="center"/>
              <w:rPr>
                <w:sz w:val="20"/>
              </w:rPr>
            </w:pPr>
          </w:p>
        </w:tc>
        <w:tc>
          <w:tcPr>
            <w:tcW w:w="896" w:type="dxa"/>
            <w:tcBorders>
              <w:top w:val="single" w:sz="4" w:space="0" w:color="auto"/>
              <w:left w:val="single" w:sz="4" w:space="0" w:color="auto"/>
              <w:bottom w:val="single" w:sz="4" w:space="0" w:color="auto"/>
              <w:right w:val="single" w:sz="4" w:space="0" w:color="auto"/>
            </w:tcBorders>
          </w:tcPr>
          <w:p w:rsidR="004905BC" w:rsidRDefault="004905BC">
            <w:pPr>
              <w:jc w:val="center"/>
              <w:rPr>
                <w:sz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941"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941"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c>
          <w:tcPr>
            <w:tcW w:w="1689" w:type="dxa"/>
            <w:tcBorders>
              <w:top w:val="single" w:sz="4" w:space="0" w:color="auto"/>
              <w:left w:val="single" w:sz="4" w:space="0" w:color="auto"/>
              <w:bottom w:val="single" w:sz="4" w:space="0" w:color="auto"/>
              <w:right w:val="single" w:sz="4" w:space="0" w:color="auto"/>
            </w:tcBorders>
            <w:vAlign w:val="center"/>
          </w:tcPr>
          <w:p w:rsidR="004905BC" w:rsidRDefault="004905BC">
            <w:pPr>
              <w:jc w:val="center"/>
              <w:rPr>
                <w:sz w:val="20"/>
              </w:rPr>
            </w:pPr>
          </w:p>
        </w:tc>
      </w:tr>
    </w:tbl>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Nr. 2</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PRANEŠIMAS APIE PROFILAKTIŠKAI NUSTATYTĄ LIGĄ</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lang w:eastAsia="lt-LT"/>
        </w:rPr>
        <w:drawing>
          <wp:inline distT="0" distB="0" distL="0" distR="0" wp14:anchorId="122C64C3" wp14:editId="4C224F27">
            <wp:extent cx="6115050" cy="4276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427672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 xml:space="preserve">priedas </w:t>
      </w:r>
      <w:r>
        <w:t>Nr. 3</w:t>
      </w:r>
    </w:p>
    <w:p w:rsidR="004905BC" w:rsidRDefault="004905BC">
      <w:pPr>
        <w:tabs>
          <w:tab w:val="left" w:leader="dot" w:pos="7992"/>
        </w:tabs>
        <w:jc w:val="center"/>
      </w:pPr>
    </w:p>
    <w:p w:rsidR="004905BC" w:rsidRDefault="00064C81">
      <w:pPr>
        <w:tabs>
          <w:tab w:val="left" w:leader="dot" w:pos="7992"/>
        </w:tabs>
        <w:jc w:val="center"/>
        <w:rPr>
          <w:b/>
        </w:rPr>
      </w:pPr>
      <w:r>
        <w:rPr>
          <w:b/>
        </w:rPr>
        <w:t>ATRANKINĖS PATIKROS DĖL GIMDOS KAKLELIO PATOLOGIJOS PROGRAMOS KOORDINAVIMO SCHEMA</w:t>
      </w:r>
    </w:p>
    <w:p w:rsidR="004905BC" w:rsidRDefault="004905BC">
      <w:pPr>
        <w:tabs>
          <w:tab w:val="left" w:leader="dot" w:pos="7992"/>
        </w:tabs>
        <w:jc w:val="center"/>
        <w:rPr>
          <w:b/>
        </w:rPr>
      </w:pPr>
    </w:p>
    <w:p w:rsidR="004905BC" w:rsidRDefault="00064C81">
      <w:pPr>
        <w:tabs>
          <w:tab w:val="left" w:leader="dot" w:pos="7992"/>
        </w:tabs>
        <w:jc w:val="center"/>
        <w:rPr>
          <w:b/>
        </w:rPr>
      </w:pPr>
      <w:r>
        <w:rPr>
          <w:b/>
          <w:noProof/>
          <w:lang w:eastAsia="lt-LT"/>
        </w:rPr>
        <w:drawing>
          <wp:inline distT="0" distB="0" distL="0" distR="0" wp14:anchorId="5B435B7D" wp14:editId="4219BFD3">
            <wp:extent cx="6115050" cy="573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5734050"/>
                    </a:xfrm>
                    <a:prstGeom prst="rect">
                      <a:avLst/>
                    </a:prstGeom>
                    <a:noFill/>
                    <a:ln>
                      <a:noFill/>
                    </a:ln>
                  </pic:spPr>
                </pic:pic>
              </a:graphicData>
            </a:graphic>
          </wp:inline>
        </w:drawing>
      </w:r>
    </w:p>
    <w:p w:rsidR="004905BC" w:rsidRDefault="00064C81">
      <w:pPr>
        <w:tabs>
          <w:tab w:val="left" w:leader="dot" w:pos="7992"/>
        </w:tabs>
        <w:jc w:val="center"/>
        <w:rPr>
          <w:b/>
        </w:rPr>
      </w:pPr>
      <w:r>
        <w:rPr>
          <w:b/>
        </w:rPr>
        <w:t>______________</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sectPr w:rsidR="004905BC">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0" w:gutter="0"/>
          <w:pgNumType w:start="1"/>
          <w:cols w:space="1296"/>
          <w:titlePg/>
          <w:docGrid w:linePitch="78"/>
        </w:sectPr>
      </w:pPr>
    </w:p>
    <w:p w:rsidR="004905BC" w:rsidRDefault="00064C81">
      <w:pPr>
        <w:tabs>
          <w:tab w:val="center" w:pos="4153"/>
          <w:tab w:val="right" w:pos="8306"/>
        </w:tabs>
        <w:rPr>
          <w:lang w:val="en-G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Nr. 4</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4905BC" w:rsidRDefault="00064C81">
      <w:pPr>
        <w:jc w:val="center"/>
        <w:rPr>
          <w:b/>
          <w:i/>
        </w:rPr>
      </w:pPr>
      <w:r>
        <w:rPr>
          <w:b/>
        </w:rPr>
        <w:t>ATRANKINĖS PATIKROS DĖL GIMDOS KAKLELIO PATOLOGIJOS VEIKSMŲ EIGOS SCHEMA</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noProof/>
          <w:lang w:eastAsia="lt-LT"/>
        </w:rPr>
        <w:drawing>
          <wp:inline distT="0" distB="0" distL="0" distR="0" wp14:anchorId="13903227" wp14:editId="1DE0BD10">
            <wp:extent cx="6115050" cy="4695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4695825"/>
                    </a:xfrm>
                    <a:prstGeom prst="rect">
                      <a:avLst/>
                    </a:prstGeom>
                    <a:noFill/>
                    <a:ln>
                      <a:noFill/>
                    </a:ln>
                  </pic:spPr>
                </pic:pic>
              </a:graphicData>
            </a:graphic>
          </wp:inline>
        </w:drawing>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lang w:eastAsia="lt-LT"/>
        </w:rPr>
      </w:pPr>
      <w:r>
        <w:rPr>
          <w:sz w:val="20"/>
          <w:vertAlign w:val="superscript"/>
          <w:lang w:eastAsia="lt-LT"/>
        </w:rPr>
        <w:sym w:font="Symbol" w:char="002A"/>
      </w:r>
      <w:r>
        <w:rPr>
          <w:sz w:val="20"/>
          <w:lang w:eastAsia="lt-LT"/>
        </w:rPr>
        <w:t xml:space="preserve"> Nors daugelio naujausių mokslinių tyrimų duomenimis </w:t>
      </w:r>
      <w:r>
        <w:rPr>
          <w:b/>
          <w:sz w:val="20"/>
          <w:lang w:eastAsia="lt-LT"/>
        </w:rPr>
        <w:t>ŽPV testas</w:t>
      </w:r>
      <w:r>
        <w:rPr>
          <w:sz w:val="20"/>
          <w:lang w:eastAsia="lt-LT"/>
        </w:rPr>
        <w:t xml:space="preserve"> (ypač – ASC kategorijos atveju) padidina diagnostikos ir moterų, kurioms aptikta patologinių citologinių radinių, priežiūros efektyvumą, tačiau padidina finansinius kaštus. Jis taikomas pasirinktinai, esant galimybėms, ir </w:t>
      </w:r>
      <w:r>
        <w:rPr>
          <w:b/>
          <w:sz w:val="20"/>
          <w:lang w:eastAsia="lt-LT"/>
        </w:rPr>
        <w:t>nefinansuojamas iš patikros progr</w:t>
      </w:r>
      <w:r>
        <w:rPr>
          <w:b/>
          <w:sz w:val="20"/>
          <w:lang w:eastAsia="lt-LT"/>
        </w:rPr>
        <w:t>amos lėšų</w:t>
      </w:r>
      <w:r>
        <w:rPr>
          <w:sz w:val="20"/>
          <w:lang w:eastAsia="lt-LT"/>
        </w:rPr>
        <w:t>.</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sectPr w:rsidR="004905BC">
          <w:pgSz w:w="11907" w:h="16839"/>
          <w:pgMar w:top="1134" w:right="567" w:bottom="1134" w:left="1701" w:header="567" w:footer="0" w:gutter="0"/>
          <w:pgNumType w:start="1"/>
          <w:cols w:space="1296"/>
          <w:titlePg/>
          <w:docGrid w:linePitch="78"/>
        </w:sectPr>
      </w:pPr>
    </w:p>
    <w:p w:rsidR="004905BC" w:rsidRDefault="00064C81">
      <w:pPr>
        <w:tabs>
          <w:tab w:val="center" w:pos="4153"/>
          <w:tab w:val="right" w:pos="8306"/>
        </w:tabs>
        <w:rPr>
          <w:lang w:val="en-G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5</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rPr>
      </w:pPr>
      <w:r>
        <w:rPr>
          <w:b/>
          <w:bCs/>
          <w:iCs/>
        </w:rPr>
        <w:t xml:space="preserve">MOTERŲ PRIEŽIŪRA ESANT NENUSTATYTOS REIKŠMĖS ATIPINIŲ PLOKŠČIOJO EPITELIO LĄSTELIŲ (ASC – US)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738B9DBA" wp14:editId="4E2EE40D">
            <wp:extent cx="864870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8700" cy="4800600"/>
                    </a:xfrm>
                    <a:prstGeom prst="rect">
                      <a:avLst/>
                    </a:prstGeom>
                    <a:noFill/>
                    <a:ln>
                      <a:noFill/>
                    </a:ln>
                  </pic:spPr>
                </pic:pic>
              </a:graphicData>
            </a:graphic>
          </wp:inline>
        </w:drawing>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b/>
          <w:i/>
        </w:rPr>
        <w:t>P. S</w:t>
      </w:r>
      <w:r>
        <w:rPr>
          <w:i/>
        </w:rPr>
        <w:t>. ŽPV</w:t>
      </w:r>
      <w:r>
        <w:rPr>
          <w:i/>
        </w:rPr>
        <w:t xml:space="preserve"> DNR tyrimas nėra atrankinės patikros programos reikalavimas ir jam nėra numatyta lėšų Valstybinėje vėžio kontrolės programoje. Jis galėtų būti atliekamas iš kitų lėšų.</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 xml:space="preserve">patologijos programos </w:t>
      </w:r>
      <w:r>
        <w:t>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6</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MOTERŲ PRIEŽIŪRA POMENOPAUZINIU PERIODU ESANT NENUSTATYTOS REIKŠMĖS ATIPINIŲ PLOKŠČIOJO EPITELIO LĄSTELIŲ (ASC – US)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77EFADBF" wp14:editId="40E96F39">
            <wp:extent cx="8639175" cy="4486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39175" cy="448627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747"/>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747"/>
      </w:pPr>
      <w:r>
        <w:t xml:space="preserve">patologijos programos atlikimo </w:t>
      </w:r>
      <w:r>
        <w:t>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747"/>
      </w:pPr>
      <w:r>
        <w:t>priedas Nr. 7</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MOTERŲ PRIEŽIŪRA ESANT ATIPINIŲ PLOKŠČIOJO EPITELIO LĄSTELIŲ (ASC), KAI GALIMI ŽYMŪS PLOKŠČIALĄSTELINIAI INTRAEPITELINIAI POKYČIAI (ASC–H)</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565CBAB1" wp14:editId="3E73021A">
            <wp:extent cx="8639175" cy="447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39175" cy="4476750"/>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patologijos programos at</w:t>
      </w:r>
      <w:r>
        <w: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8</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MOTERŲ PRIEŽIŪRA ESANT NEŽYMIŲ PLOKŠČIALĄSTELINIŲ INTRAEPITELINIŲ POKYČIŲ (LSIL)</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5D246534" wp14:editId="584B59D9">
            <wp:extent cx="8639175" cy="4791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39175" cy="479107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9</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MOTERŲ PRIEŽIŪRA POMENOPAUZINIU PERIODU, ESANT NEŽYMIŲ PLOKŠČIALĄSTELINIŲ INTRAEPITELINIŲ POKYČIŲ (LSIL)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5DC2D17E" wp14:editId="15EBABB0">
            <wp:extent cx="8639175" cy="460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39175" cy="460057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576"/>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576"/>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576"/>
      </w:pPr>
      <w:r>
        <w:t>priedas Nr. 10</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MOTERŲ PRIEŽIŪRA ESANT ŽY</w:t>
      </w:r>
      <w:r>
        <w:rPr>
          <w:b/>
        </w:rPr>
        <w:t xml:space="preserve">MIŲ PLOKŠČIALĄSTELINIŲ INTRAEPITELINIŲ POKYČIŲ (HSIL)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0D263B68" wp14:editId="0EC1CEAA">
            <wp:extent cx="8639175" cy="4695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39175" cy="469582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11</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MOTERŲ PRIEŽIŪRA ESANT ATIPINIŲ LIAUKINIO EPITELIO LĄSTELIŲ (AGC)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lang w:eastAsia="lt-LT"/>
        </w:rPr>
        <w:drawing>
          <wp:inline distT="0" distB="0" distL="0" distR="0" wp14:anchorId="3C2206FB" wp14:editId="0072A002">
            <wp:extent cx="8648700" cy="4552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8700" cy="4552950"/>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33"/>
      </w:pPr>
      <w:r>
        <w:t>priedas Nr. 12</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MOTERŲ, KURIOMS BIOPSIŠKAI PATVIRTINTA CIN 1, TOLESNĖ PRIEŽIŪRA</w:t>
      </w: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(PATENKINAMA KOLPOSKOPIJA)</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48711184" wp14:editId="34B9D5EA">
            <wp:extent cx="8648700" cy="461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8700" cy="4610100"/>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t>priedas Nr. 13</w:t>
      </w:r>
    </w:p>
    <w:p w:rsidR="004905BC" w:rsidRDefault="004905B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MOTERŲ, KURIOMS BIOPSIŠKAI PATVIRTINTA CIN 1, TOLESNĖ PRIEŽIŪRA</w:t>
      </w: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(NEPATENKINAMA KOLPOSKOPIJA) </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58503298" wp14:editId="17B1E117">
            <wp:extent cx="8639175" cy="261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39175" cy="2619375"/>
                    </a:xfrm>
                    <a:prstGeom prst="rect">
                      <a:avLst/>
                    </a:prstGeom>
                    <a:noFill/>
                    <a:ln>
                      <a:noFill/>
                    </a:ln>
                  </pic:spPr>
                </pic:pic>
              </a:graphicData>
            </a:graphic>
          </wp:inline>
        </w:drawing>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ind w:firstLine="709"/>
        <w:jc w:val="both"/>
        <w:rPr>
          <w:i/>
        </w:rPr>
      </w:pPr>
      <w:r>
        <w:rPr>
          <w:b/>
          <w:i/>
        </w:rPr>
        <w:t>P.S.</w:t>
      </w:r>
      <w:r>
        <w:rPr>
          <w:i/>
        </w:rPr>
        <w:t xml:space="preserve"> Jei moteris nėščia, tyrimą reikėtų pakartoti II nėštumo trimestro pabaigoje ir po gimdymo praėjus 8–12 savaičių.</w:t>
      </w:r>
    </w:p>
    <w:p w:rsidR="004905BC" w:rsidRDefault="00064C81">
      <w:pPr>
        <w:jc w:val="center"/>
        <w:rPr>
          <w:i/>
        </w:rPr>
      </w:pPr>
      <w:r>
        <w:rPr>
          <w:i/>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rPr>
          <w:b/>
        </w:rP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pPr>
      <w:r>
        <w:t>priedas Nr. 14</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MOTERŲ, KURIOMS </w:t>
      </w:r>
      <w:r>
        <w:rPr>
          <w:b/>
        </w:rPr>
        <w:t>BIOPSIŠKAI PATVIRTINTA CIN 2, 3, TOLESNĖ PRIEŽIŪRA</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1E14EA1A" wp14:editId="2365AA82">
            <wp:extent cx="9239250" cy="4486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39250" cy="448627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90"/>
        <w:sectPr w:rsidR="004905BC">
          <w:pgSz w:w="16839" w:h="11907" w:orient="landscape"/>
          <w:pgMar w:top="1701" w:right="1134" w:bottom="567" w:left="1134" w:header="567" w:footer="0" w:gutter="0"/>
          <w:pgNumType w:start="1"/>
          <w:cols w:space="1296"/>
          <w:titlePg/>
          <w:docGrid w:linePitch="78"/>
        </w:sectPr>
      </w:pPr>
    </w:p>
    <w:p w:rsidR="004905BC" w:rsidRDefault="00064C81">
      <w:pPr>
        <w:tabs>
          <w:tab w:val="center" w:pos="4153"/>
          <w:tab w:val="right" w:pos="8306"/>
        </w:tabs>
        <w:rPr>
          <w:lang w:val="en-G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Nr. 15</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NĖŠČIŲ MOTERŲ PATIKRA</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lt-LT"/>
        </w:rPr>
        <w:drawing>
          <wp:inline distT="0" distB="0" distL="0" distR="0" wp14:anchorId="6C8A7A66" wp14:editId="178681EF">
            <wp:extent cx="6115050" cy="6429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5050" cy="6429375"/>
                    </a:xfrm>
                    <a:prstGeom prst="rect">
                      <a:avLst/>
                    </a:prstGeom>
                    <a:noFill/>
                    <a:ln>
                      <a:noFill/>
                    </a:ln>
                  </pic:spPr>
                </pic:pic>
              </a:graphicData>
            </a:graphic>
          </wp:inline>
        </w:drawing>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rPr>
        <w:t xml:space="preserve">Pastabos: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t xml:space="preserve">. </w:t>
      </w:r>
      <w:r>
        <w:t>Endocervikinis kiuretažas nėščiosioms nerekomenduojamas.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t>. Kadangi kolposkopiškai vertinti nėščiąsias gali būti problematiška, rekomenduojama</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patyrusio kolposkopuotojo konsultacija.</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t xml:space="preserve">. Diagnostinės ekscizinės procedūros rekomenduojamos tik įtarus </w:t>
      </w:r>
      <w:r>
        <w:t>invazyvų procesą.</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br w:type="page"/>
      </w:r>
      <w:r>
        <w:lastRenderedPageBreak/>
        <w:t xml:space="preserve">Atrankinės patikros 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patologijos 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Nr. 16</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GIMDOS KAKLELIO PATOLOGIJOS ATRANKINĖS PATIKROS PROGRAMOS VYKDYMO VERTINIMAS</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7785"/>
      </w:tblGrid>
      <w:tr w:rsidR="004905BC">
        <w:trPr>
          <w:cantSplit/>
        </w:trPr>
        <w:tc>
          <w:tcPr>
            <w:tcW w:w="10098" w:type="dxa"/>
            <w:gridSpan w:val="2"/>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b/>
                <w:sz w:val="20"/>
              </w:rPr>
              <w:t>PATIKROS ORGANIZAVIMAS</w:t>
            </w: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Rodiklis</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tabs>
                <w:tab w:val="left" w:pos="270"/>
              </w:tabs>
              <w:jc w:val="center"/>
              <w:outlineLvl w:val="3"/>
              <w:rPr>
                <w:i/>
                <w:sz w:val="20"/>
              </w:rPr>
            </w:pPr>
            <w:r>
              <w:rPr>
                <w:i/>
                <w:sz w:val="20"/>
              </w:rPr>
              <w:t>Apibrėžimas/apibūdinimai</w:t>
            </w: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smallCaps/>
                <w:sz w:val="20"/>
              </w:rPr>
            </w:pPr>
            <w:r>
              <w:rPr>
                <w:smallCaps/>
                <w:sz w:val="20"/>
              </w:rPr>
              <w:t>programos apimtis</w:t>
            </w:r>
          </w:p>
          <w:p w:rsidR="004905BC" w:rsidRDefault="004905BC">
            <w:pPr>
              <w:rPr>
                <w:smallCaps/>
                <w:sz w:val="20"/>
              </w:rPr>
            </w:pP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Moterų skaičius, įtrauktas į patikros programą</w:t>
            </w:r>
          </w:p>
          <w:p w:rsidR="004905BC" w:rsidRDefault="00064C81">
            <w:pPr>
              <w:jc w:val="center"/>
              <w:rPr>
                <w:sz w:val="20"/>
              </w:rPr>
            </w:pPr>
            <w:r>
              <w:rPr>
                <w:sz w:val="20"/>
              </w:rPr>
              <w:t>________________________________________________ * 100%</w:t>
            </w:r>
          </w:p>
          <w:p w:rsidR="004905BC" w:rsidRDefault="00064C81">
            <w:pPr>
              <w:jc w:val="center"/>
              <w:rPr>
                <w:sz w:val="20"/>
              </w:rPr>
            </w:pPr>
            <w:r>
              <w:rPr>
                <w:sz w:val="20"/>
              </w:rPr>
              <w:t>Bendras 30–60 m. amžiaus moterų skaičius savivaldybėje</w:t>
            </w:r>
          </w:p>
          <w:p w:rsidR="004905BC" w:rsidRDefault="004905BC">
            <w:pPr>
              <w:jc w:val="center"/>
              <w:rPr>
                <w:i/>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Kvietimai, metinis rodiklis</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 xml:space="preserve">Pakviestų į patikrą </w:t>
            </w:r>
            <w:r>
              <w:rPr>
                <w:sz w:val="20"/>
              </w:rPr>
              <w:t>moterų skaičius per metus</w:t>
            </w:r>
          </w:p>
          <w:p w:rsidR="004905BC" w:rsidRDefault="00064C81">
            <w:pPr>
              <w:jc w:val="center"/>
              <w:rPr>
                <w:sz w:val="20"/>
              </w:rPr>
            </w:pPr>
            <w:r>
              <w:rPr>
                <w:sz w:val="20"/>
              </w:rPr>
              <w:t>________________________________________________ * 100%</w:t>
            </w:r>
          </w:p>
          <w:p w:rsidR="004905BC" w:rsidRDefault="00064C81">
            <w:pPr>
              <w:jc w:val="center"/>
              <w:rPr>
                <w:sz w:val="20"/>
              </w:rPr>
            </w:pPr>
            <w:r>
              <w:rPr>
                <w:sz w:val="20"/>
              </w:rPr>
              <w:t>Bendras 30–60 m. amžiaus moterų skaičius savivaldybėje</w:t>
            </w:r>
          </w:p>
          <w:p w:rsidR="004905BC" w:rsidRDefault="004905BC">
            <w:pPr>
              <w:jc w:val="center"/>
              <w:rPr>
                <w:sz w:val="20"/>
              </w:rPr>
            </w:pPr>
          </w:p>
          <w:p w:rsidR="004905BC" w:rsidRDefault="00064C81">
            <w:pPr>
              <w:outlineLvl w:val="4"/>
              <w:rPr>
                <w:i/>
                <w:sz w:val="20"/>
                <w:lang w:eastAsia="lt-LT"/>
              </w:rPr>
            </w:pPr>
            <w:r>
              <w:rPr>
                <w:i/>
                <w:sz w:val="20"/>
                <w:lang w:eastAsia="lt-LT"/>
              </w:rPr>
              <w:t xml:space="preserve">Ne mažiau kaip 1/3 kasmet, jei patikra bus vykdoma 3 metus </w:t>
            </w: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Patikra Metiniai rodikliAI:</w:t>
            </w:r>
          </w:p>
          <w:p w:rsidR="004905BC" w:rsidRDefault="004905BC">
            <w:pPr>
              <w:rPr>
                <w:caps/>
                <w:sz w:val="20"/>
              </w:rPr>
            </w:pPr>
          </w:p>
          <w:p w:rsidR="004905BC" w:rsidRDefault="00064C81">
            <w:pPr>
              <w:rPr>
                <w:caps/>
                <w:sz w:val="20"/>
              </w:rPr>
            </w:pPr>
            <w:r>
              <w:rPr>
                <w:caps/>
                <w:sz w:val="20"/>
              </w:rPr>
              <w:t>1. Patikra pagal programĄ</w:t>
            </w:r>
          </w:p>
          <w:p w:rsidR="004905BC" w:rsidRDefault="004905BC">
            <w:pPr>
              <w:rPr>
                <w:caps/>
                <w:sz w:val="20"/>
              </w:rPr>
            </w:pPr>
          </w:p>
          <w:p w:rsidR="004905BC" w:rsidRDefault="00064C81">
            <w:pPr>
              <w:rPr>
                <w:caps/>
                <w:sz w:val="20"/>
              </w:rPr>
            </w:pPr>
            <w:r>
              <w:rPr>
                <w:caps/>
                <w:sz w:val="20"/>
              </w:rPr>
              <w:t>2. patikra Ne pagal programą</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tabs>
                <w:tab w:val="left" w:pos="270"/>
              </w:tabs>
              <w:outlineLvl w:val="3"/>
              <w:rPr>
                <w:i/>
                <w:sz w:val="20"/>
              </w:rPr>
            </w:pPr>
            <w:r>
              <w:rPr>
                <w:i/>
                <w:sz w:val="20"/>
              </w:rPr>
              <w:t>Pagal patikros programą:</w:t>
            </w:r>
          </w:p>
          <w:p w:rsidR="004905BC" w:rsidRDefault="00064C81">
            <w:pPr>
              <w:tabs>
                <w:tab w:val="left" w:pos="270"/>
              </w:tabs>
              <w:jc w:val="center"/>
              <w:outlineLvl w:val="3"/>
              <w:rPr>
                <w:sz w:val="20"/>
              </w:rPr>
            </w:pPr>
            <w:r>
              <w:rPr>
                <w:sz w:val="20"/>
              </w:rPr>
              <w:t>Patikrintų moterų skaičius</w:t>
            </w:r>
          </w:p>
          <w:p w:rsidR="004905BC" w:rsidRDefault="00064C81">
            <w:pPr>
              <w:jc w:val="center"/>
              <w:rPr>
                <w:sz w:val="20"/>
              </w:rPr>
            </w:pPr>
            <w:r>
              <w:rPr>
                <w:sz w:val="20"/>
              </w:rPr>
              <w:t>__________________________________________________ *100%</w:t>
            </w:r>
          </w:p>
          <w:p w:rsidR="004905BC" w:rsidRDefault="00064C81">
            <w:pPr>
              <w:jc w:val="center"/>
              <w:rPr>
                <w:sz w:val="20"/>
              </w:rPr>
            </w:pPr>
            <w:r>
              <w:rPr>
                <w:sz w:val="20"/>
              </w:rPr>
              <w:t>Bendras 30–60 m. amžiaus moterų skaičius savivaldybėje</w:t>
            </w:r>
          </w:p>
          <w:p w:rsidR="004905BC" w:rsidRDefault="004905BC">
            <w:pPr>
              <w:jc w:val="center"/>
              <w:rPr>
                <w:i/>
                <w:sz w:val="20"/>
              </w:rPr>
            </w:pPr>
          </w:p>
          <w:p w:rsidR="004905BC" w:rsidRDefault="004905BC">
            <w:pPr>
              <w:tabs>
                <w:tab w:val="left" w:pos="270"/>
              </w:tabs>
              <w:outlineLvl w:val="3"/>
              <w:rPr>
                <w:i/>
                <w:sz w:val="20"/>
              </w:rPr>
            </w:pPr>
          </w:p>
          <w:p w:rsidR="004905BC" w:rsidRDefault="004905BC">
            <w:pPr>
              <w:tabs>
                <w:tab w:val="left" w:pos="270"/>
              </w:tabs>
              <w:outlineLvl w:val="3"/>
              <w:rPr>
                <w:i/>
                <w:sz w:val="20"/>
              </w:rPr>
            </w:pPr>
          </w:p>
          <w:p w:rsidR="004905BC" w:rsidRDefault="004905BC">
            <w:pPr>
              <w:tabs>
                <w:tab w:val="left" w:pos="270"/>
              </w:tabs>
              <w:outlineLvl w:val="3"/>
              <w:rPr>
                <w:i/>
                <w:sz w:val="20"/>
              </w:rPr>
            </w:pPr>
          </w:p>
          <w:p w:rsidR="004905BC" w:rsidRDefault="00064C81">
            <w:pPr>
              <w:tabs>
                <w:tab w:val="left" w:pos="270"/>
              </w:tabs>
              <w:outlineLvl w:val="3"/>
              <w:rPr>
                <w:i/>
                <w:sz w:val="20"/>
              </w:rPr>
            </w:pPr>
            <w:r>
              <w:rPr>
                <w:i/>
                <w:sz w:val="20"/>
              </w:rPr>
              <w:t>Kreipėsi savarankiškai (ne pagal programą):</w:t>
            </w:r>
          </w:p>
          <w:p w:rsidR="004905BC" w:rsidRDefault="004905BC">
            <w:pPr>
              <w:tabs>
                <w:tab w:val="left" w:pos="270"/>
              </w:tabs>
              <w:jc w:val="center"/>
              <w:outlineLvl w:val="3"/>
              <w:rPr>
                <w:sz w:val="20"/>
              </w:rPr>
            </w:pPr>
          </w:p>
          <w:p w:rsidR="004905BC" w:rsidRDefault="00064C81">
            <w:pPr>
              <w:tabs>
                <w:tab w:val="left" w:pos="270"/>
              </w:tabs>
              <w:jc w:val="center"/>
              <w:outlineLvl w:val="3"/>
              <w:rPr>
                <w:sz w:val="20"/>
              </w:rPr>
            </w:pPr>
            <w:r>
              <w:rPr>
                <w:sz w:val="20"/>
              </w:rPr>
              <w:t>Patikrintų mot</w:t>
            </w:r>
            <w:r>
              <w:rPr>
                <w:sz w:val="20"/>
              </w:rPr>
              <w:t>erų skaičius</w:t>
            </w:r>
          </w:p>
          <w:p w:rsidR="004905BC" w:rsidRDefault="00064C81">
            <w:pPr>
              <w:jc w:val="center"/>
              <w:rPr>
                <w:sz w:val="20"/>
              </w:rPr>
            </w:pPr>
            <w:r>
              <w:rPr>
                <w:sz w:val="20"/>
              </w:rPr>
              <w:t>_____________________________________________________ *100%</w:t>
            </w:r>
          </w:p>
          <w:p w:rsidR="004905BC" w:rsidRDefault="00064C81">
            <w:pPr>
              <w:jc w:val="center"/>
              <w:rPr>
                <w:sz w:val="20"/>
              </w:rPr>
            </w:pPr>
            <w:r>
              <w:rPr>
                <w:sz w:val="20"/>
              </w:rPr>
              <w:t>Bendras 30–60 m. amžiaus moterų skaičius savivaldybėje</w:t>
            </w:r>
          </w:p>
          <w:p w:rsidR="004905BC" w:rsidRDefault="004905BC">
            <w:pPr>
              <w:jc w:val="center"/>
              <w:rPr>
                <w:i/>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Patikra Metiniai lokalŪs rodikliAI:</w:t>
            </w:r>
          </w:p>
          <w:p w:rsidR="004905BC" w:rsidRDefault="004905BC">
            <w:pPr>
              <w:rPr>
                <w:caps/>
                <w:sz w:val="20"/>
              </w:rPr>
            </w:pPr>
          </w:p>
          <w:p w:rsidR="004905BC" w:rsidRDefault="00064C81">
            <w:pPr>
              <w:rPr>
                <w:caps/>
                <w:sz w:val="20"/>
              </w:rPr>
            </w:pPr>
            <w:r>
              <w:rPr>
                <w:caps/>
                <w:sz w:val="20"/>
              </w:rPr>
              <w:t>1. Patikra pagal programĄ</w:t>
            </w:r>
          </w:p>
          <w:p w:rsidR="004905BC" w:rsidRDefault="004905BC">
            <w:pPr>
              <w:rPr>
                <w:caps/>
                <w:sz w:val="20"/>
              </w:rPr>
            </w:pPr>
          </w:p>
          <w:p w:rsidR="004905BC" w:rsidRDefault="00064C81">
            <w:pPr>
              <w:rPr>
                <w:caps/>
                <w:sz w:val="20"/>
              </w:rPr>
            </w:pPr>
            <w:r>
              <w:rPr>
                <w:caps/>
                <w:sz w:val="20"/>
              </w:rPr>
              <w:t>2. patikra Ne pagal programĄ</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tabs>
                <w:tab w:val="left" w:pos="270"/>
              </w:tabs>
              <w:outlineLvl w:val="3"/>
              <w:rPr>
                <w:i/>
                <w:sz w:val="20"/>
              </w:rPr>
            </w:pPr>
            <w:r>
              <w:rPr>
                <w:i/>
                <w:sz w:val="20"/>
              </w:rPr>
              <w:t>Pagal patikros programą:</w:t>
            </w:r>
          </w:p>
          <w:p w:rsidR="004905BC" w:rsidRDefault="004905BC">
            <w:pPr>
              <w:rPr>
                <w:sz w:val="20"/>
              </w:rPr>
            </w:pPr>
          </w:p>
          <w:p w:rsidR="004905BC" w:rsidRDefault="00064C81">
            <w:pPr>
              <w:tabs>
                <w:tab w:val="left" w:pos="270"/>
              </w:tabs>
              <w:jc w:val="center"/>
              <w:outlineLvl w:val="3"/>
              <w:rPr>
                <w:sz w:val="20"/>
              </w:rPr>
            </w:pPr>
            <w:r>
              <w:rPr>
                <w:sz w:val="20"/>
              </w:rPr>
              <w:t>Patikrintų moterų skaičius</w:t>
            </w:r>
          </w:p>
          <w:p w:rsidR="004905BC" w:rsidRDefault="00064C81">
            <w:pPr>
              <w:jc w:val="center"/>
              <w:rPr>
                <w:sz w:val="20"/>
              </w:rPr>
            </w:pPr>
            <w:r>
              <w:rPr>
                <w:sz w:val="20"/>
              </w:rPr>
              <w:t>_____________________________ *100%</w:t>
            </w:r>
          </w:p>
          <w:p w:rsidR="004905BC" w:rsidRDefault="00064C81">
            <w:pPr>
              <w:jc w:val="center"/>
              <w:rPr>
                <w:sz w:val="20"/>
              </w:rPr>
            </w:pPr>
            <w:r>
              <w:rPr>
                <w:sz w:val="20"/>
              </w:rPr>
              <w:t>Pakviestų į patikrą moterų skaičius</w:t>
            </w:r>
          </w:p>
          <w:p w:rsidR="004905BC" w:rsidRDefault="004905BC">
            <w:pPr>
              <w:jc w:val="center"/>
              <w:rPr>
                <w:i/>
                <w:sz w:val="20"/>
              </w:rPr>
            </w:pPr>
          </w:p>
          <w:p w:rsidR="004905BC" w:rsidRDefault="004905BC">
            <w:pPr>
              <w:tabs>
                <w:tab w:val="left" w:pos="270"/>
              </w:tabs>
              <w:outlineLvl w:val="3"/>
              <w:rPr>
                <w:i/>
                <w:sz w:val="20"/>
              </w:rPr>
            </w:pPr>
          </w:p>
          <w:p w:rsidR="004905BC" w:rsidRDefault="004905BC">
            <w:pPr>
              <w:tabs>
                <w:tab w:val="left" w:pos="270"/>
              </w:tabs>
              <w:outlineLvl w:val="3"/>
              <w:rPr>
                <w:i/>
                <w:sz w:val="20"/>
              </w:rPr>
            </w:pPr>
          </w:p>
          <w:p w:rsidR="004905BC" w:rsidRDefault="004905BC">
            <w:pPr>
              <w:tabs>
                <w:tab w:val="left" w:pos="270"/>
              </w:tabs>
              <w:outlineLvl w:val="3"/>
              <w:rPr>
                <w:i/>
                <w:sz w:val="20"/>
              </w:rPr>
            </w:pPr>
          </w:p>
          <w:p w:rsidR="004905BC" w:rsidRDefault="00064C81">
            <w:pPr>
              <w:tabs>
                <w:tab w:val="left" w:pos="270"/>
              </w:tabs>
              <w:outlineLvl w:val="3"/>
              <w:rPr>
                <w:i/>
                <w:sz w:val="20"/>
              </w:rPr>
            </w:pPr>
            <w:r>
              <w:rPr>
                <w:i/>
                <w:sz w:val="20"/>
              </w:rPr>
              <w:t>Kreipėsi savarankiškai (ne pagal programą):</w:t>
            </w:r>
          </w:p>
          <w:p w:rsidR="004905BC" w:rsidRDefault="004905BC">
            <w:pPr>
              <w:tabs>
                <w:tab w:val="left" w:pos="270"/>
              </w:tabs>
              <w:jc w:val="center"/>
              <w:outlineLvl w:val="3"/>
              <w:rPr>
                <w:sz w:val="20"/>
              </w:rPr>
            </w:pPr>
          </w:p>
          <w:p w:rsidR="004905BC" w:rsidRDefault="00064C81">
            <w:pPr>
              <w:tabs>
                <w:tab w:val="left" w:pos="270"/>
              </w:tabs>
              <w:jc w:val="center"/>
              <w:outlineLvl w:val="3"/>
              <w:rPr>
                <w:sz w:val="20"/>
              </w:rPr>
            </w:pPr>
            <w:r>
              <w:rPr>
                <w:sz w:val="20"/>
              </w:rPr>
              <w:t>Patikrintų moterų skaičius</w:t>
            </w:r>
          </w:p>
          <w:p w:rsidR="004905BC" w:rsidRDefault="00064C81">
            <w:pPr>
              <w:jc w:val="center"/>
              <w:rPr>
                <w:sz w:val="20"/>
              </w:rPr>
            </w:pPr>
            <w:r>
              <w:rPr>
                <w:sz w:val="20"/>
              </w:rPr>
              <w:t>__________________________________ *100%</w:t>
            </w:r>
          </w:p>
          <w:p w:rsidR="004905BC" w:rsidRDefault="00064C81">
            <w:pPr>
              <w:jc w:val="center"/>
              <w:rPr>
                <w:sz w:val="20"/>
              </w:rPr>
            </w:pPr>
            <w:r>
              <w:rPr>
                <w:sz w:val="20"/>
              </w:rPr>
              <w:t>Pakviestų į patikrą moterų skaičius</w:t>
            </w:r>
          </w:p>
          <w:p w:rsidR="004905BC" w:rsidRDefault="004905BC">
            <w:pPr>
              <w:jc w:val="center"/>
              <w:rPr>
                <w:i/>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bendras patikros rodiklis</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Bendras nuo programos vykdymo pradžios atliktų tyrimų skaičius</w:t>
            </w:r>
          </w:p>
          <w:p w:rsidR="004905BC" w:rsidRDefault="00064C81">
            <w:pPr>
              <w:jc w:val="center"/>
              <w:rPr>
                <w:sz w:val="20"/>
              </w:rPr>
            </w:pPr>
            <w:r>
              <w:rPr>
                <w:sz w:val="20"/>
              </w:rPr>
              <w:t>________________________________________________ *100%</w:t>
            </w:r>
          </w:p>
          <w:p w:rsidR="004905BC" w:rsidRDefault="00064C81">
            <w:pPr>
              <w:jc w:val="center"/>
              <w:rPr>
                <w:sz w:val="20"/>
              </w:rPr>
            </w:pPr>
            <w:r>
              <w:rPr>
                <w:sz w:val="20"/>
              </w:rPr>
              <w:t xml:space="preserve">Nuo programos vykdymo pradžios patikrintų moterų skaičius </w:t>
            </w:r>
          </w:p>
          <w:p w:rsidR="004905BC" w:rsidRDefault="004905BC">
            <w:pPr>
              <w:jc w:val="center"/>
              <w:rPr>
                <w:sz w:val="20"/>
              </w:rPr>
            </w:pPr>
          </w:p>
          <w:p w:rsidR="004905BC" w:rsidRDefault="00064C81">
            <w:pPr>
              <w:rPr>
                <w:i/>
                <w:sz w:val="20"/>
              </w:rPr>
            </w:pPr>
            <w:r>
              <w:rPr>
                <w:i/>
                <w:sz w:val="20"/>
              </w:rPr>
              <w:t>Pastaba: vienas tepinėlis vienai moteriai (neįtrauki</w:t>
            </w:r>
            <w:r>
              <w:rPr>
                <w:i/>
                <w:sz w:val="20"/>
              </w:rPr>
              <w:t>ant pakartotinių tepinėlių)</w:t>
            </w:r>
          </w:p>
        </w:tc>
      </w:tr>
      <w:tr w:rsidR="004905BC">
        <w:trPr>
          <w:cantSplit/>
        </w:trPr>
        <w:tc>
          <w:tcPr>
            <w:tcW w:w="10098" w:type="dxa"/>
            <w:gridSpan w:val="2"/>
            <w:tcBorders>
              <w:top w:val="single" w:sz="4" w:space="0" w:color="auto"/>
              <w:left w:val="single" w:sz="4" w:space="0" w:color="auto"/>
              <w:bottom w:val="single" w:sz="4" w:space="0" w:color="auto"/>
              <w:right w:val="single" w:sz="4" w:space="0" w:color="auto"/>
            </w:tcBorders>
          </w:tcPr>
          <w:p w:rsidR="004905BC" w:rsidRDefault="00064C81">
            <w:pPr>
              <w:jc w:val="center"/>
              <w:rPr>
                <w:b/>
                <w:sz w:val="20"/>
              </w:rPr>
            </w:pPr>
            <w:r>
              <w:rPr>
                <w:b/>
                <w:sz w:val="20"/>
              </w:rPr>
              <w:t>PATIKROS TESTO VERTINIMAS (CITOLOGIJA)</w:t>
            </w: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PakartoTini citologiniai tepinėliai</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 xml:space="preserve">Skaičius moterų, kurioms rekomenduota pakartoti tepinėlį dažniau, nei numatyta programoje </w:t>
            </w:r>
          </w:p>
          <w:p w:rsidR="004905BC" w:rsidRDefault="00064C81">
            <w:pPr>
              <w:jc w:val="center"/>
              <w:rPr>
                <w:sz w:val="20"/>
              </w:rPr>
            </w:pPr>
            <w:r>
              <w:rPr>
                <w:sz w:val="20"/>
              </w:rPr>
              <w:t xml:space="preserve">_______________________________________________________ </w:t>
            </w:r>
            <w:r>
              <w:rPr>
                <w:sz w:val="20"/>
              </w:rPr>
              <w:t>*100%</w:t>
            </w:r>
          </w:p>
          <w:p w:rsidR="004905BC" w:rsidRDefault="00064C81">
            <w:pPr>
              <w:jc w:val="center"/>
              <w:rPr>
                <w:sz w:val="20"/>
              </w:rPr>
            </w:pPr>
            <w:r>
              <w:rPr>
                <w:sz w:val="20"/>
              </w:rPr>
              <w:t xml:space="preserve">Nuo programos pradžios patikrintų moterų skaičius </w:t>
            </w:r>
          </w:p>
          <w:p w:rsidR="004905BC" w:rsidRDefault="004905BC">
            <w:pPr>
              <w:jc w:val="center"/>
              <w:rPr>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Kolposkopinis tyrimas</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jc w:val="center"/>
              <w:rPr>
                <w:sz w:val="20"/>
              </w:rPr>
            </w:pPr>
            <w:r>
              <w:rPr>
                <w:sz w:val="20"/>
              </w:rPr>
              <w:t xml:space="preserve">Atrinktų kolposkopijai moterų skaičius </w:t>
            </w:r>
          </w:p>
          <w:p w:rsidR="004905BC" w:rsidRDefault="00064C81">
            <w:pPr>
              <w:jc w:val="center"/>
              <w:rPr>
                <w:sz w:val="20"/>
              </w:rPr>
            </w:pPr>
            <w:r>
              <w:rPr>
                <w:sz w:val="20"/>
              </w:rPr>
              <w:t>_______________________________________________________ *100%</w:t>
            </w:r>
          </w:p>
          <w:p w:rsidR="004905BC" w:rsidRDefault="00064C81">
            <w:pPr>
              <w:jc w:val="center"/>
              <w:rPr>
                <w:sz w:val="20"/>
              </w:rPr>
            </w:pPr>
            <w:r>
              <w:rPr>
                <w:sz w:val="20"/>
              </w:rPr>
              <w:t xml:space="preserve">Nuo programos pradžios patikrintų moterų skaičius </w:t>
            </w:r>
          </w:p>
          <w:p w:rsidR="004905BC" w:rsidRDefault="004905BC">
            <w:pPr>
              <w:jc w:val="center"/>
              <w:rPr>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lastRenderedPageBreak/>
              <w:t>Kolposkopinio tyrimo</w:t>
            </w:r>
            <w:r>
              <w:rPr>
                <w:caps/>
                <w:sz w:val="20"/>
              </w:rPr>
              <w:t xml:space="preserve"> teigiama prognostinė reikšmė</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Skaičius moterų, kurioms kolposkopijos metu histologiškai patvirtintas CIN </w:t>
            </w:r>
          </w:p>
          <w:p w:rsidR="004905BC" w:rsidRDefault="00064C81">
            <w:pPr>
              <w:jc w:val="center"/>
              <w:rPr>
                <w:sz w:val="20"/>
              </w:rPr>
            </w:pPr>
            <w:r>
              <w:rPr>
                <w:sz w:val="20"/>
              </w:rPr>
              <w:t>_______________________________________________________ *100%</w:t>
            </w:r>
          </w:p>
          <w:p w:rsidR="004905BC" w:rsidRDefault="00064C81">
            <w:pPr>
              <w:rPr>
                <w:sz w:val="20"/>
              </w:rPr>
            </w:pPr>
            <w:r>
              <w:rPr>
                <w:sz w:val="20"/>
              </w:rPr>
              <w:t>Skaičius moterų, kurioms nuo programos pradžios atlikta kolposkopija</w:t>
            </w:r>
          </w:p>
          <w:p w:rsidR="004905BC" w:rsidRDefault="004905BC">
            <w:pPr>
              <w:jc w:val="center"/>
              <w:rPr>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TESTO specifiškum</w:t>
            </w:r>
            <w:r>
              <w:rPr>
                <w:caps/>
                <w:sz w:val="20"/>
              </w:rPr>
              <w:t>as</w:t>
            </w: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ind w:firstLine="50"/>
              <w:rPr>
                <w:sz w:val="20"/>
              </w:rPr>
            </w:pPr>
            <w:r>
              <w:rPr>
                <w:sz w:val="20"/>
              </w:rPr>
              <w:t xml:space="preserve">Skaičius moterų, kurioms neatlikta kolposkopija </w:t>
            </w:r>
          </w:p>
          <w:p w:rsidR="004905BC" w:rsidRDefault="00064C81">
            <w:pPr>
              <w:jc w:val="center"/>
              <w:rPr>
                <w:sz w:val="20"/>
              </w:rPr>
            </w:pPr>
            <w:r>
              <w:rPr>
                <w:sz w:val="20"/>
              </w:rPr>
              <w:t>_______________________________________________________ *100%</w:t>
            </w:r>
          </w:p>
          <w:p w:rsidR="004905BC" w:rsidRDefault="00064C81">
            <w:pPr>
              <w:rPr>
                <w:sz w:val="20"/>
              </w:rPr>
            </w:pPr>
            <w:r>
              <w:rPr>
                <w:sz w:val="20"/>
              </w:rPr>
              <w:t>Skaičius patikrintų moterų, kurioms CIN nebuvo histologiškai patvirtintas</w:t>
            </w:r>
          </w:p>
          <w:p w:rsidR="004905BC" w:rsidRDefault="004905BC">
            <w:pPr>
              <w:jc w:val="center"/>
              <w:rPr>
                <w:sz w:val="20"/>
              </w:rPr>
            </w:pPr>
          </w:p>
        </w:tc>
      </w:tr>
      <w:tr w:rsidR="004905BC">
        <w:tc>
          <w:tcPr>
            <w:tcW w:w="1933" w:type="dxa"/>
            <w:tcBorders>
              <w:top w:val="single" w:sz="4" w:space="0" w:color="auto"/>
              <w:left w:val="single" w:sz="4" w:space="0" w:color="auto"/>
              <w:bottom w:val="single" w:sz="4" w:space="0" w:color="auto"/>
              <w:right w:val="single" w:sz="4" w:space="0" w:color="auto"/>
            </w:tcBorders>
          </w:tcPr>
          <w:p w:rsidR="004905BC" w:rsidRDefault="00064C81">
            <w:pPr>
              <w:rPr>
                <w:caps/>
                <w:sz w:val="20"/>
              </w:rPr>
            </w:pPr>
            <w:r>
              <w:rPr>
                <w:caps/>
                <w:sz w:val="20"/>
              </w:rPr>
              <w:t>Patologinių pokyčių rodikliai:</w:t>
            </w:r>
          </w:p>
          <w:p w:rsidR="004905BC" w:rsidRDefault="004905BC">
            <w:pPr>
              <w:rPr>
                <w:caps/>
                <w:sz w:val="20"/>
              </w:rPr>
            </w:pPr>
          </w:p>
          <w:p w:rsidR="004905BC" w:rsidRDefault="004905BC">
            <w:pPr>
              <w:rPr>
                <w:caps/>
                <w:sz w:val="20"/>
              </w:rPr>
            </w:pPr>
          </w:p>
        </w:tc>
        <w:tc>
          <w:tcPr>
            <w:tcW w:w="8165"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Skaičius patikrintų moterų, </w:t>
            </w:r>
            <w:r>
              <w:rPr>
                <w:sz w:val="20"/>
              </w:rPr>
              <w:t>kurioms histologiškai patvirtintas CIN</w:t>
            </w:r>
          </w:p>
          <w:p w:rsidR="004905BC" w:rsidRDefault="00064C81">
            <w:pPr>
              <w:jc w:val="center"/>
              <w:rPr>
                <w:sz w:val="20"/>
              </w:rPr>
            </w:pPr>
            <w:r>
              <w:rPr>
                <w:sz w:val="20"/>
              </w:rPr>
              <w:t>_______________________________________________________ *100%</w:t>
            </w:r>
          </w:p>
          <w:p w:rsidR="004905BC" w:rsidRDefault="00064C81">
            <w:pPr>
              <w:jc w:val="center"/>
              <w:rPr>
                <w:sz w:val="20"/>
              </w:rPr>
            </w:pPr>
            <w:r>
              <w:rPr>
                <w:sz w:val="20"/>
              </w:rPr>
              <w:t xml:space="preserve">Skaičius patikrintų moterų </w:t>
            </w:r>
          </w:p>
          <w:p w:rsidR="004905BC" w:rsidRDefault="00064C81">
            <w:pPr>
              <w:rPr>
                <w:i/>
                <w:sz w:val="20"/>
              </w:rPr>
            </w:pPr>
            <w:r>
              <w:rPr>
                <w:i/>
                <w:sz w:val="20"/>
              </w:rPr>
              <w:t xml:space="preserve">pagal </w:t>
            </w:r>
            <w:r>
              <w:rPr>
                <w:i/>
                <w:smallCaps/>
                <w:sz w:val="20"/>
              </w:rPr>
              <w:t>CIN1,2,3 bei invazyvią karcinomą</w:t>
            </w:r>
          </w:p>
          <w:p w:rsidR="004905BC" w:rsidRDefault="004905BC">
            <w:pPr>
              <w:jc w:val="center"/>
              <w:rPr>
                <w:sz w:val="20"/>
              </w:rPr>
            </w:pPr>
          </w:p>
        </w:tc>
      </w:tr>
      <w:tr w:rsidR="004905BC">
        <w:trPr>
          <w:cantSplit/>
        </w:trPr>
        <w:tc>
          <w:tcPr>
            <w:tcW w:w="10098" w:type="dxa"/>
            <w:gridSpan w:val="2"/>
            <w:tcBorders>
              <w:top w:val="single" w:sz="4" w:space="0" w:color="auto"/>
              <w:left w:val="single" w:sz="4" w:space="0" w:color="auto"/>
              <w:bottom w:val="single" w:sz="4" w:space="0" w:color="auto"/>
              <w:right w:val="single" w:sz="4" w:space="0" w:color="auto"/>
            </w:tcBorders>
          </w:tcPr>
          <w:p w:rsidR="004905BC" w:rsidRDefault="00064C81">
            <w:pPr>
              <w:outlineLvl w:val="5"/>
              <w:rPr>
                <w:b/>
                <w:sz w:val="20"/>
                <w:lang w:eastAsia="lt-LT"/>
              </w:rPr>
            </w:pPr>
            <w:r>
              <w:rPr>
                <w:b/>
                <w:sz w:val="20"/>
                <w:lang w:eastAsia="lt-LT"/>
              </w:rPr>
              <w:t>PATIKROS DIAGNOSTINIS VERTINIMAS IR GYDYMAS*</w:t>
            </w:r>
          </w:p>
        </w:tc>
      </w:tr>
      <w:tr w:rsidR="004905BC">
        <w:trPr>
          <w:cantSplit/>
        </w:trPr>
        <w:tc>
          <w:tcPr>
            <w:tcW w:w="10098" w:type="dxa"/>
            <w:gridSpan w:val="2"/>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 reikalui esant, vertinama pagal ES </w:t>
            </w:r>
            <w:r>
              <w:rPr>
                <w:sz w:val="20"/>
              </w:rPr>
              <w:t>rekomendacijas</w:t>
            </w:r>
          </w:p>
        </w:tc>
      </w:tr>
    </w:tbl>
    <w:p w:rsidR="004905BC" w:rsidRDefault="00064C81">
      <w:pPr>
        <w:keepNex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7"/>
        <w:rPr>
          <w:i/>
          <w:lang w:eastAsia="lt-LT"/>
        </w:rPr>
      </w:pPr>
      <w:r>
        <w:rPr>
          <w:i/>
          <w:lang w:eastAsia="lt-LT"/>
        </w:rPr>
        <w:t>______________</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rPr>
          <w:spacing w:val="-6"/>
        </w:rPr>
      </w:pPr>
      <w:r>
        <w:br w:type="page"/>
      </w:r>
      <w:r>
        <w:lastRenderedPageBreak/>
        <w:t xml:space="preserve">Atrankinės patikros </w:t>
      </w:r>
      <w:r>
        <w:rPr>
          <w:spacing w:val="-6"/>
        </w:rPr>
        <w:t xml:space="preserve">dėl gimdos kaklelio </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rPr>
          <w:spacing w:val="-6"/>
        </w:rPr>
        <w:t xml:space="preserve">patologijos </w:t>
      </w:r>
      <w:r>
        <w:t>programos atlikimo metodikos</w:t>
      </w: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2"/>
      </w:pPr>
      <w:r>
        <w:t>priedas Nr. 17</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ATRANKINĖS PATIKROS DĖL GIMDOS KAKLELIO PATOLOGIJOS PROGRAMOS VYKDYMO EIGOS METINIS VERTINIMAS</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7"/>
      </w:tblGrid>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1. 30–60 m. amžiaus moterų</w:t>
            </w:r>
            <w:r>
              <w:rPr>
                <w:sz w:val="20"/>
              </w:rPr>
              <w:t xml:space="preserve"> skaičius savivaldybėje</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2................ metais pakviestų dalyvauti organizuotoje gimdos kaklelio patologijos patikros programoje moterų skaičius</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3................. metais atsiliepusių dalyvauti organizuotoje gimdos kaklelio patologijos patikros progr</w:t>
            </w:r>
            <w:r>
              <w:rPr>
                <w:sz w:val="20"/>
              </w:rPr>
              <w:t xml:space="preserve">amoje moterų skaičius </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4. Lėšų kiekis patikros programai paremti, Lt</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5. Nuo kurių metų buvo vykdomos patikros programos </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6. Jei organizuota patikros programa............... metais nebuvo vykdoma, ar yra žinoma, kiek moterų dėl </w:t>
            </w:r>
            <w:r>
              <w:rPr>
                <w:sz w:val="20"/>
              </w:rPr>
              <w:t>patikros................ m. kreipėsi savarankiškai?</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r w:rsidR="004905BC">
        <w:tc>
          <w:tcPr>
            <w:tcW w:w="7398" w:type="dxa"/>
            <w:tcBorders>
              <w:top w:val="single" w:sz="4" w:space="0" w:color="auto"/>
              <w:left w:val="single" w:sz="4" w:space="0" w:color="auto"/>
              <w:bottom w:val="single" w:sz="4" w:space="0" w:color="auto"/>
              <w:right w:val="single" w:sz="4" w:space="0" w:color="auto"/>
            </w:tcBorders>
          </w:tcPr>
          <w:p w:rsidR="004905BC" w:rsidRDefault="00064C81">
            <w:pPr>
              <w:rPr>
                <w:sz w:val="20"/>
              </w:rPr>
            </w:pPr>
            <w:r>
              <w:rPr>
                <w:sz w:val="20"/>
              </w:rPr>
              <w:t xml:space="preserve">7. Ar moterys............... m. buvo supažindinamos su rekomendacijomis dėl patikros (lankstinukai, populiarūs straipsniai vietinėje spaudoje, paskaitos ir pan. (skaičius) </w:t>
            </w:r>
          </w:p>
        </w:tc>
        <w:tc>
          <w:tcPr>
            <w:tcW w:w="2459" w:type="dxa"/>
            <w:tcBorders>
              <w:top w:val="single" w:sz="4" w:space="0" w:color="auto"/>
              <w:left w:val="single" w:sz="4" w:space="0" w:color="auto"/>
              <w:bottom w:val="single" w:sz="4" w:space="0" w:color="auto"/>
              <w:right w:val="single" w:sz="4" w:space="0" w:color="auto"/>
            </w:tcBorders>
          </w:tcPr>
          <w:p w:rsidR="004905BC" w:rsidRDefault="004905BC">
            <w:pPr>
              <w:tabs>
                <w:tab w:val="left" w:leader="underscore" w:pos="2268"/>
                <w:tab w:val="left" w:leader="underscore" w:pos="5670"/>
              </w:tabs>
              <w:rPr>
                <w:sz w:val="20"/>
              </w:rPr>
            </w:pPr>
          </w:p>
        </w:tc>
      </w:tr>
    </w:tbl>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05BC" w:rsidRDefault="00064C81">
      <w:pPr>
        <w:tabs>
          <w:tab w:val="left" w:pos="6840"/>
          <w:tab w:val="left" w:pos="10992"/>
          <w:tab w:val="left" w:pos="11908"/>
          <w:tab w:val="left" w:pos="12824"/>
          <w:tab w:val="left" w:pos="13740"/>
          <w:tab w:val="left" w:pos="14656"/>
        </w:tabs>
      </w:pPr>
      <w:r>
        <w:t>Savivaldybės gydytojas</w:t>
      </w:r>
      <w:r>
        <w:tab/>
        <w:t xml:space="preserve"> Va</w:t>
      </w:r>
      <w:r>
        <w:t>rdas, pavardė</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9637" w:type="dxa"/>
        <w:tblLayout w:type="fixed"/>
        <w:tblLook w:val="01E0" w:firstRow="1" w:lastRow="1" w:firstColumn="1" w:lastColumn="1" w:noHBand="0" w:noVBand="0"/>
      </w:tblPr>
      <w:tblGrid>
        <w:gridCol w:w="3471"/>
        <w:gridCol w:w="6166"/>
      </w:tblGrid>
      <w:tr w:rsidR="004905BC">
        <w:tc>
          <w:tcPr>
            <w:tcW w:w="3471" w:type="dxa"/>
          </w:tcPr>
          <w:p w:rsidR="004905BC" w:rsidRDefault="00064C81">
            <w:pPr>
              <w:framePr w:hSpace="180" w:wrap="auto" w:vAnchor="text" w:hAnchor="page" w:x="1640" w:y="751"/>
              <w:ind w:firstLine="709"/>
              <w:rPr>
                <w:b/>
                <w:szCs w:val="24"/>
              </w:rPr>
            </w:pPr>
            <w:r>
              <w:rPr>
                <w:szCs w:val="24"/>
              </w:rPr>
              <w:t>AGC</w:t>
            </w:r>
          </w:p>
        </w:tc>
        <w:tc>
          <w:tcPr>
            <w:tcW w:w="6166" w:type="dxa"/>
          </w:tcPr>
          <w:p w:rsidR="004905BC" w:rsidRDefault="00064C81">
            <w:pPr>
              <w:framePr w:hSpace="180" w:wrap="auto" w:vAnchor="text" w:hAnchor="page" w:x="1640" w:y="751"/>
              <w:rPr>
                <w:b/>
                <w:szCs w:val="24"/>
              </w:rPr>
            </w:pPr>
            <w:r>
              <w:rPr>
                <w:szCs w:val="24"/>
              </w:rPr>
              <w:t xml:space="preserve">Atipinės liaukinio epitelio ląstelės </w:t>
            </w:r>
          </w:p>
        </w:tc>
      </w:tr>
      <w:tr w:rsidR="004905BC">
        <w:tc>
          <w:tcPr>
            <w:tcW w:w="3471" w:type="dxa"/>
          </w:tcPr>
          <w:p w:rsidR="004905BC" w:rsidRDefault="00064C81">
            <w:pPr>
              <w:framePr w:hSpace="180" w:wrap="auto" w:vAnchor="text" w:hAnchor="page" w:x="1640" w:y="751"/>
              <w:ind w:firstLine="709"/>
              <w:rPr>
                <w:szCs w:val="24"/>
              </w:rPr>
            </w:pPr>
            <w:r>
              <w:rPr>
                <w:szCs w:val="24"/>
              </w:rPr>
              <w:t>AGC-NOS</w:t>
            </w:r>
          </w:p>
        </w:tc>
        <w:tc>
          <w:tcPr>
            <w:tcW w:w="6166" w:type="dxa"/>
          </w:tcPr>
          <w:p w:rsidR="004905BC" w:rsidRDefault="00064C81">
            <w:pPr>
              <w:framePr w:hSpace="180" w:wrap="auto" w:vAnchor="text" w:hAnchor="page" w:x="1640" w:y="751"/>
              <w:rPr>
                <w:szCs w:val="24"/>
              </w:rPr>
            </w:pPr>
            <w:r>
              <w:rPr>
                <w:szCs w:val="24"/>
              </w:rPr>
              <w:t>Neklasifikuojamos atipinės liaukinio epitelio ląstelės</w:t>
            </w:r>
          </w:p>
        </w:tc>
      </w:tr>
      <w:tr w:rsidR="004905BC">
        <w:tc>
          <w:tcPr>
            <w:tcW w:w="3471" w:type="dxa"/>
          </w:tcPr>
          <w:p w:rsidR="004905BC" w:rsidRDefault="00064C81">
            <w:pPr>
              <w:framePr w:hSpace="180" w:wrap="auto" w:vAnchor="text" w:hAnchor="page" w:x="1640" w:y="751"/>
              <w:ind w:firstLine="709"/>
              <w:rPr>
                <w:szCs w:val="24"/>
              </w:rPr>
            </w:pPr>
            <w:r>
              <w:rPr>
                <w:szCs w:val="24"/>
              </w:rPr>
              <w:t>AIS</w:t>
            </w:r>
          </w:p>
        </w:tc>
        <w:tc>
          <w:tcPr>
            <w:tcW w:w="6166" w:type="dxa"/>
          </w:tcPr>
          <w:p w:rsidR="004905BC" w:rsidRDefault="00064C81">
            <w:pPr>
              <w:framePr w:hSpace="180" w:wrap="auto" w:vAnchor="text" w:hAnchor="page" w:x="1640" w:y="751"/>
              <w:rPr>
                <w:i/>
                <w:szCs w:val="24"/>
              </w:rPr>
            </w:pPr>
            <w:r>
              <w:rPr>
                <w:i/>
                <w:szCs w:val="24"/>
              </w:rPr>
              <w:t>Adenocarcinoma in situ</w:t>
            </w:r>
          </w:p>
        </w:tc>
      </w:tr>
      <w:tr w:rsidR="004905BC">
        <w:tc>
          <w:tcPr>
            <w:tcW w:w="3471" w:type="dxa"/>
          </w:tcPr>
          <w:p w:rsidR="004905BC" w:rsidRDefault="00064C81">
            <w:pPr>
              <w:framePr w:hSpace="180" w:wrap="auto" w:vAnchor="text" w:hAnchor="page" w:x="1640" w:y="751"/>
              <w:ind w:firstLine="709"/>
              <w:rPr>
                <w:szCs w:val="24"/>
              </w:rPr>
            </w:pPr>
            <w:r>
              <w:rPr>
                <w:szCs w:val="24"/>
              </w:rPr>
              <w:t>ASC</w:t>
            </w:r>
          </w:p>
        </w:tc>
        <w:tc>
          <w:tcPr>
            <w:tcW w:w="6166" w:type="dxa"/>
          </w:tcPr>
          <w:p w:rsidR="004905BC" w:rsidRDefault="00064C81">
            <w:pPr>
              <w:framePr w:hSpace="180" w:wrap="auto" w:vAnchor="text" w:hAnchor="page" w:x="1640" w:y="751"/>
              <w:rPr>
                <w:szCs w:val="24"/>
              </w:rPr>
            </w:pPr>
            <w:r>
              <w:rPr>
                <w:szCs w:val="24"/>
              </w:rPr>
              <w:t>Atipinės plokščiojo epitelio ląstelės</w:t>
            </w:r>
          </w:p>
        </w:tc>
      </w:tr>
      <w:tr w:rsidR="004905BC">
        <w:tc>
          <w:tcPr>
            <w:tcW w:w="3471" w:type="dxa"/>
          </w:tcPr>
          <w:p w:rsidR="004905BC" w:rsidRDefault="00064C81">
            <w:pPr>
              <w:framePr w:hSpace="180" w:wrap="auto" w:vAnchor="text" w:hAnchor="page" w:x="1640" w:y="751"/>
              <w:ind w:firstLine="709"/>
              <w:rPr>
                <w:szCs w:val="24"/>
              </w:rPr>
            </w:pPr>
            <w:r>
              <w:rPr>
                <w:szCs w:val="24"/>
              </w:rPr>
              <w:t>ASC-H</w:t>
            </w:r>
          </w:p>
        </w:tc>
        <w:tc>
          <w:tcPr>
            <w:tcW w:w="6166" w:type="dxa"/>
          </w:tcPr>
          <w:p w:rsidR="004905BC" w:rsidRDefault="00064C81">
            <w:pPr>
              <w:framePr w:hSpace="180" w:wrap="auto" w:vAnchor="text" w:hAnchor="page" w:x="1640" w:y="751"/>
              <w:rPr>
                <w:szCs w:val="24"/>
              </w:rPr>
            </w:pPr>
            <w:r>
              <w:rPr>
                <w:szCs w:val="24"/>
              </w:rPr>
              <w:t xml:space="preserve">Atipinės plokščiojo epitelio ląstelės, galimi žymūs </w:t>
            </w:r>
            <w:r>
              <w:rPr>
                <w:szCs w:val="24"/>
              </w:rPr>
              <w:t>intraepiteliniai plokščialąsteliniai pokyčiai (HSIL)</w:t>
            </w:r>
          </w:p>
        </w:tc>
      </w:tr>
      <w:tr w:rsidR="004905BC">
        <w:tc>
          <w:tcPr>
            <w:tcW w:w="3471" w:type="dxa"/>
          </w:tcPr>
          <w:p w:rsidR="004905BC" w:rsidRDefault="00064C81">
            <w:pPr>
              <w:framePr w:hSpace="180" w:wrap="auto" w:vAnchor="text" w:hAnchor="page" w:x="1640" w:y="751"/>
              <w:ind w:firstLine="709"/>
              <w:rPr>
                <w:szCs w:val="24"/>
              </w:rPr>
            </w:pPr>
            <w:r>
              <w:rPr>
                <w:szCs w:val="24"/>
              </w:rPr>
              <w:t>ASC-US</w:t>
            </w:r>
          </w:p>
        </w:tc>
        <w:tc>
          <w:tcPr>
            <w:tcW w:w="6166" w:type="dxa"/>
          </w:tcPr>
          <w:p w:rsidR="004905BC" w:rsidRDefault="00064C81">
            <w:pPr>
              <w:framePr w:hSpace="180" w:wrap="auto" w:vAnchor="text" w:hAnchor="page" w:x="1640" w:y="751"/>
              <w:rPr>
                <w:szCs w:val="24"/>
              </w:rPr>
            </w:pPr>
            <w:r>
              <w:rPr>
                <w:szCs w:val="24"/>
              </w:rPr>
              <w:t>Nenustatytos reikšmės (kilmės) atipinės plokščiojo epitelio ląstelės</w:t>
            </w:r>
          </w:p>
        </w:tc>
      </w:tr>
      <w:tr w:rsidR="004905BC">
        <w:tc>
          <w:tcPr>
            <w:tcW w:w="3471" w:type="dxa"/>
          </w:tcPr>
          <w:p w:rsidR="004905BC" w:rsidRDefault="00064C81">
            <w:pPr>
              <w:framePr w:hSpace="180" w:wrap="auto" w:vAnchor="text" w:hAnchor="page" w:x="1640" w:y="751"/>
              <w:ind w:firstLine="709"/>
              <w:rPr>
                <w:b/>
                <w:szCs w:val="24"/>
              </w:rPr>
            </w:pPr>
            <w:r>
              <w:rPr>
                <w:szCs w:val="24"/>
              </w:rPr>
              <w:t>CIN</w:t>
            </w:r>
          </w:p>
        </w:tc>
        <w:tc>
          <w:tcPr>
            <w:tcW w:w="6166" w:type="dxa"/>
          </w:tcPr>
          <w:p w:rsidR="004905BC" w:rsidRDefault="00064C81">
            <w:pPr>
              <w:framePr w:hSpace="180" w:wrap="auto" w:vAnchor="text" w:hAnchor="page" w:x="1640" w:y="751"/>
              <w:rPr>
                <w:szCs w:val="24"/>
              </w:rPr>
            </w:pPr>
            <w:r>
              <w:rPr>
                <w:szCs w:val="24"/>
              </w:rPr>
              <w:t>Displazija arba intraepitelinė gimdos kaklelio neoplazija</w:t>
            </w:r>
          </w:p>
        </w:tc>
      </w:tr>
      <w:tr w:rsidR="004905BC">
        <w:tc>
          <w:tcPr>
            <w:tcW w:w="3471" w:type="dxa"/>
          </w:tcPr>
          <w:p w:rsidR="004905BC" w:rsidRDefault="00064C81">
            <w:pPr>
              <w:framePr w:hSpace="180" w:wrap="auto" w:vAnchor="text" w:hAnchor="page" w:x="1640" w:y="751"/>
              <w:ind w:firstLine="709"/>
              <w:rPr>
                <w:szCs w:val="24"/>
              </w:rPr>
            </w:pPr>
            <w:r>
              <w:rPr>
                <w:szCs w:val="24"/>
              </w:rPr>
              <w:t>CIN1</w:t>
            </w:r>
          </w:p>
        </w:tc>
        <w:tc>
          <w:tcPr>
            <w:tcW w:w="6166" w:type="dxa"/>
          </w:tcPr>
          <w:p w:rsidR="004905BC" w:rsidRDefault="00064C81">
            <w:pPr>
              <w:framePr w:hSpace="180" w:wrap="auto" w:vAnchor="text" w:hAnchor="page" w:x="1640" w:y="751"/>
              <w:rPr>
                <w:szCs w:val="24"/>
              </w:rPr>
            </w:pPr>
            <w:r>
              <w:rPr>
                <w:szCs w:val="24"/>
              </w:rPr>
              <w:t xml:space="preserve">Neryški displazija arba intraepitelinė gimdos kaklelio </w:t>
            </w:r>
            <w:r>
              <w:rPr>
                <w:szCs w:val="24"/>
              </w:rPr>
              <w:t>neoplazija</w:t>
            </w:r>
          </w:p>
        </w:tc>
      </w:tr>
      <w:tr w:rsidR="004905BC">
        <w:tc>
          <w:tcPr>
            <w:tcW w:w="3471" w:type="dxa"/>
          </w:tcPr>
          <w:p w:rsidR="004905BC" w:rsidRDefault="00064C81">
            <w:pPr>
              <w:framePr w:hSpace="180" w:wrap="auto" w:vAnchor="text" w:hAnchor="page" w:x="1640" w:y="751"/>
              <w:ind w:firstLine="709"/>
              <w:rPr>
                <w:szCs w:val="24"/>
              </w:rPr>
            </w:pPr>
            <w:r>
              <w:rPr>
                <w:szCs w:val="24"/>
              </w:rPr>
              <w:t>CIN2</w:t>
            </w:r>
          </w:p>
        </w:tc>
        <w:tc>
          <w:tcPr>
            <w:tcW w:w="6166" w:type="dxa"/>
          </w:tcPr>
          <w:p w:rsidR="004905BC" w:rsidRDefault="00064C81">
            <w:pPr>
              <w:framePr w:hSpace="180" w:wrap="auto" w:vAnchor="text" w:hAnchor="page" w:x="1640" w:y="751"/>
              <w:rPr>
                <w:szCs w:val="24"/>
              </w:rPr>
            </w:pPr>
            <w:r>
              <w:rPr>
                <w:szCs w:val="24"/>
              </w:rPr>
              <w:t>Vidutinė displazija arba intraepitelinė gimdos kaklelio neoplazija</w:t>
            </w:r>
          </w:p>
        </w:tc>
      </w:tr>
      <w:tr w:rsidR="004905BC">
        <w:tc>
          <w:tcPr>
            <w:tcW w:w="3471" w:type="dxa"/>
          </w:tcPr>
          <w:p w:rsidR="004905BC" w:rsidRDefault="00064C81">
            <w:pPr>
              <w:framePr w:hSpace="180" w:wrap="auto" w:vAnchor="text" w:hAnchor="page" w:x="1640" w:y="751"/>
              <w:ind w:firstLine="709"/>
              <w:rPr>
                <w:szCs w:val="24"/>
              </w:rPr>
            </w:pPr>
            <w:r>
              <w:rPr>
                <w:szCs w:val="24"/>
              </w:rPr>
              <w:t>CIN3</w:t>
            </w:r>
          </w:p>
        </w:tc>
        <w:tc>
          <w:tcPr>
            <w:tcW w:w="6166" w:type="dxa"/>
          </w:tcPr>
          <w:p w:rsidR="004905BC" w:rsidRDefault="00064C81">
            <w:pPr>
              <w:framePr w:hSpace="180" w:wrap="auto" w:vAnchor="text" w:hAnchor="page" w:x="1640" w:y="751"/>
              <w:rPr>
                <w:szCs w:val="24"/>
              </w:rPr>
            </w:pPr>
            <w:r>
              <w:rPr>
                <w:szCs w:val="24"/>
              </w:rPr>
              <w:t>Ryški displazija arba intraepitelinė gimdos kaklelio neoplazija</w:t>
            </w:r>
          </w:p>
        </w:tc>
      </w:tr>
      <w:tr w:rsidR="004905BC">
        <w:tc>
          <w:tcPr>
            <w:tcW w:w="3471" w:type="dxa"/>
          </w:tcPr>
          <w:p w:rsidR="004905BC" w:rsidRDefault="00064C81">
            <w:pPr>
              <w:framePr w:hSpace="180" w:wrap="auto" w:vAnchor="text" w:hAnchor="page" w:x="1640" w:y="751"/>
              <w:ind w:firstLine="709"/>
              <w:rPr>
                <w:szCs w:val="24"/>
              </w:rPr>
            </w:pPr>
            <w:r>
              <w:rPr>
                <w:szCs w:val="24"/>
              </w:rPr>
              <w:t>CIS</w:t>
            </w:r>
          </w:p>
        </w:tc>
        <w:tc>
          <w:tcPr>
            <w:tcW w:w="6166" w:type="dxa"/>
          </w:tcPr>
          <w:p w:rsidR="004905BC" w:rsidRDefault="00064C81">
            <w:pPr>
              <w:framePr w:hSpace="180" w:wrap="auto" w:vAnchor="text" w:hAnchor="page" w:x="1640" w:y="751"/>
              <w:rPr>
                <w:i/>
                <w:szCs w:val="24"/>
              </w:rPr>
            </w:pPr>
            <w:r>
              <w:rPr>
                <w:i/>
                <w:szCs w:val="24"/>
              </w:rPr>
              <w:t>Carcinoma in situ</w:t>
            </w:r>
          </w:p>
        </w:tc>
      </w:tr>
      <w:tr w:rsidR="004905BC">
        <w:tc>
          <w:tcPr>
            <w:tcW w:w="3471" w:type="dxa"/>
          </w:tcPr>
          <w:p w:rsidR="004905BC" w:rsidRDefault="00064C81">
            <w:pPr>
              <w:framePr w:hSpace="180" w:wrap="auto" w:vAnchor="text" w:hAnchor="page" w:x="1640" w:y="751"/>
              <w:ind w:firstLine="709"/>
              <w:rPr>
                <w:b/>
                <w:szCs w:val="24"/>
              </w:rPr>
            </w:pPr>
            <w:r>
              <w:rPr>
                <w:szCs w:val="24"/>
              </w:rPr>
              <w:t>ECC</w:t>
            </w:r>
          </w:p>
        </w:tc>
        <w:tc>
          <w:tcPr>
            <w:tcW w:w="6166" w:type="dxa"/>
          </w:tcPr>
          <w:p w:rsidR="004905BC" w:rsidRDefault="00064C81">
            <w:pPr>
              <w:framePr w:hSpace="180" w:wrap="auto" w:vAnchor="text" w:hAnchor="page" w:x="1640" w:y="751"/>
              <w:rPr>
                <w:szCs w:val="24"/>
              </w:rPr>
            </w:pPr>
            <w:r>
              <w:rPr>
                <w:szCs w:val="24"/>
              </w:rPr>
              <w:t>Gimdos kaklelio kanalo kiuretažas</w:t>
            </w:r>
          </w:p>
        </w:tc>
      </w:tr>
      <w:tr w:rsidR="004905BC">
        <w:tc>
          <w:tcPr>
            <w:tcW w:w="3471" w:type="dxa"/>
          </w:tcPr>
          <w:p w:rsidR="004905BC" w:rsidRDefault="00064C81">
            <w:pPr>
              <w:framePr w:hSpace="180" w:wrap="auto" w:vAnchor="text" w:hAnchor="page" w:x="1640" w:y="751"/>
              <w:ind w:firstLine="709"/>
              <w:rPr>
                <w:b/>
                <w:szCs w:val="24"/>
              </w:rPr>
            </w:pPr>
            <w:r>
              <w:rPr>
                <w:szCs w:val="24"/>
              </w:rPr>
              <w:t>HSIL</w:t>
            </w:r>
          </w:p>
        </w:tc>
        <w:tc>
          <w:tcPr>
            <w:tcW w:w="6166" w:type="dxa"/>
          </w:tcPr>
          <w:p w:rsidR="004905BC" w:rsidRDefault="00064C81">
            <w:pPr>
              <w:framePr w:hSpace="180" w:wrap="auto" w:vAnchor="text" w:hAnchor="page" w:x="1640" w:y="751"/>
              <w:rPr>
                <w:szCs w:val="24"/>
              </w:rPr>
            </w:pPr>
            <w:r>
              <w:rPr>
                <w:szCs w:val="24"/>
              </w:rPr>
              <w:t>Žymūs plokščialąsteliniai intraepi</w:t>
            </w:r>
            <w:r>
              <w:rPr>
                <w:szCs w:val="24"/>
              </w:rPr>
              <w:t>teliniai pokyčiai</w:t>
            </w:r>
          </w:p>
        </w:tc>
      </w:tr>
      <w:tr w:rsidR="004905BC">
        <w:tc>
          <w:tcPr>
            <w:tcW w:w="3471" w:type="dxa"/>
          </w:tcPr>
          <w:p w:rsidR="004905BC" w:rsidRDefault="00064C81">
            <w:pPr>
              <w:framePr w:hSpace="180" w:wrap="auto" w:vAnchor="text" w:hAnchor="page" w:x="1640" w:y="751"/>
              <w:ind w:firstLine="709"/>
              <w:rPr>
                <w:b/>
                <w:szCs w:val="24"/>
              </w:rPr>
            </w:pPr>
            <w:r>
              <w:rPr>
                <w:szCs w:val="24"/>
              </w:rPr>
              <w:t>LSIL</w:t>
            </w:r>
          </w:p>
        </w:tc>
        <w:tc>
          <w:tcPr>
            <w:tcW w:w="6166" w:type="dxa"/>
          </w:tcPr>
          <w:p w:rsidR="004905BC" w:rsidRDefault="00064C81">
            <w:pPr>
              <w:framePr w:hSpace="180" w:wrap="auto" w:vAnchor="text" w:hAnchor="page" w:x="1640" w:y="751"/>
              <w:rPr>
                <w:szCs w:val="24"/>
              </w:rPr>
            </w:pPr>
            <w:r>
              <w:rPr>
                <w:szCs w:val="24"/>
              </w:rPr>
              <w:t>Nežymūs plokščialąsteliniai intraepiteliniai pokyčiai</w:t>
            </w:r>
          </w:p>
        </w:tc>
      </w:tr>
      <w:tr w:rsidR="004905BC">
        <w:tc>
          <w:tcPr>
            <w:tcW w:w="3471" w:type="dxa"/>
          </w:tcPr>
          <w:p w:rsidR="004905BC" w:rsidRDefault="00064C81">
            <w:pPr>
              <w:framePr w:hSpace="180" w:wrap="auto" w:vAnchor="text" w:hAnchor="page" w:x="1640" w:y="751"/>
              <w:ind w:firstLine="709"/>
              <w:rPr>
                <w:szCs w:val="24"/>
              </w:rPr>
            </w:pPr>
            <w:r>
              <w:rPr>
                <w:szCs w:val="24"/>
              </w:rPr>
              <w:t xml:space="preserve">Pap testas (Pap tepinėlis) </w:t>
            </w:r>
          </w:p>
        </w:tc>
        <w:tc>
          <w:tcPr>
            <w:tcW w:w="6166" w:type="dxa"/>
          </w:tcPr>
          <w:p w:rsidR="004905BC" w:rsidRDefault="00064C81">
            <w:pPr>
              <w:framePr w:hSpace="180" w:wrap="auto" w:vAnchor="text" w:hAnchor="page" w:x="1640" w:y="751"/>
              <w:rPr>
                <w:szCs w:val="24"/>
              </w:rPr>
            </w:pPr>
            <w:r>
              <w:rPr>
                <w:szCs w:val="24"/>
              </w:rPr>
              <w:t>Citologinis gimdos kaklelio tepinėlis (Papanicolaou testas)</w:t>
            </w:r>
          </w:p>
        </w:tc>
      </w:tr>
      <w:tr w:rsidR="004905BC">
        <w:tc>
          <w:tcPr>
            <w:tcW w:w="3471" w:type="dxa"/>
          </w:tcPr>
          <w:p w:rsidR="004905BC" w:rsidRDefault="00064C81">
            <w:pPr>
              <w:framePr w:hSpace="180" w:wrap="auto" w:vAnchor="text" w:hAnchor="page" w:x="1640" w:y="751"/>
              <w:ind w:firstLine="709"/>
              <w:rPr>
                <w:szCs w:val="24"/>
              </w:rPr>
            </w:pPr>
            <w:r>
              <w:rPr>
                <w:szCs w:val="24"/>
              </w:rPr>
              <w:t>SIL</w:t>
            </w:r>
          </w:p>
        </w:tc>
        <w:tc>
          <w:tcPr>
            <w:tcW w:w="6166" w:type="dxa"/>
          </w:tcPr>
          <w:p w:rsidR="004905BC" w:rsidRDefault="00064C81">
            <w:pPr>
              <w:framePr w:hSpace="180" w:wrap="auto" w:vAnchor="text" w:hAnchor="page" w:x="1640" w:y="751"/>
              <w:rPr>
                <w:szCs w:val="24"/>
              </w:rPr>
            </w:pPr>
            <w:r>
              <w:rPr>
                <w:szCs w:val="24"/>
              </w:rPr>
              <w:t>Plokščialąsteliniai intraepiteliniai pokyčiai</w:t>
            </w:r>
          </w:p>
        </w:tc>
      </w:tr>
      <w:tr w:rsidR="004905BC">
        <w:tc>
          <w:tcPr>
            <w:tcW w:w="3471" w:type="dxa"/>
          </w:tcPr>
          <w:p w:rsidR="004905BC" w:rsidRDefault="00064C81">
            <w:pPr>
              <w:framePr w:hSpace="180" w:wrap="auto" w:vAnchor="text" w:hAnchor="page" w:x="1640" w:y="751"/>
              <w:ind w:firstLine="709"/>
              <w:rPr>
                <w:szCs w:val="24"/>
              </w:rPr>
            </w:pPr>
            <w:r>
              <w:rPr>
                <w:szCs w:val="24"/>
              </w:rPr>
              <w:t>ŽPV</w:t>
            </w:r>
          </w:p>
        </w:tc>
        <w:tc>
          <w:tcPr>
            <w:tcW w:w="6166" w:type="dxa"/>
          </w:tcPr>
          <w:p w:rsidR="004905BC" w:rsidRDefault="00064C81">
            <w:pPr>
              <w:framePr w:hSpace="180" w:wrap="auto" w:vAnchor="text" w:hAnchor="page" w:x="1640" w:y="751"/>
              <w:rPr>
                <w:szCs w:val="24"/>
              </w:rPr>
            </w:pPr>
            <w:r>
              <w:rPr>
                <w:szCs w:val="24"/>
              </w:rPr>
              <w:t>Žmogaus papilomos virusas</w:t>
            </w:r>
          </w:p>
        </w:tc>
      </w:tr>
    </w:tbl>
    <w:p w:rsidR="004905BC" w:rsidRDefault="00064C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
        </w:rPr>
        <w:t>Terminai ir santrumpos</w:t>
      </w:r>
    </w:p>
    <w:p w:rsidR="004905BC" w:rsidRDefault="004905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905BC" w:rsidRDefault="00064C81">
      <w:pPr>
        <w:tabs>
          <w:tab w:val="left" w:leader="dot" w:pos="7992"/>
        </w:tabs>
        <w:ind w:right="252"/>
        <w:jc w:val="center"/>
      </w:pPr>
      <w:r>
        <w:t>______________</w:t>
      </w:r>
    </w:p>
    <w:p w:rsidR="004905BC" w:rsidRDefault="00064C81"/>
    <w:sectPr w:rsidR="004905BC">
      <w:pgSz w:w="11907" w:h="16839"/>
      <w:pgMar w:top="1134" w:right="567" w:bottom="1134" w:left="1701" w:header="567" w:footer="0" w:gutter="0"/>
      <w:pgNumType w:start="1"/>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BC" w:rsidRDefault="00064C81">
      <w:r>
        <w:separator/>
      </w:r>
    </w:p>
  </w:endnote>
  <w:endnote w:type="continuationSeparator" w:id="0">
    <w:p w:rsidR="004905BC" w:rsidRDefault="0006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4905B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4905B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4905B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BC" w:rsidRDefault="00064C81">
      <w:r>
        <w:separator/>
      </w:r>
    </w:p>
  </w:footnote>
  <w:footnote w:type="continuationSeparator" w:id="0">
    <w:p w:rsidR="004905BC" w:rsidRDefault="0006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064C8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4905BC" w:rsidRDefault="004905B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064C8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rsidR="004905BC" w:rsidRDefault="004905B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C" w:rsidRDefault="004905B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E0"/>
    <w:rsid w:val="00064C81"/>
    <w:rsid w:val="004905BC"/>
    <w:rsid w:val="00BE34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4776B2AF287"/>
  <Relationship Id="rId11" Type="http://schemas.openxmlformats.org/officeDocument/2006/relationships/hyperlink" TargetMode="External" Target="https://www.e-tar.lt/portal/lt/legalAct/TAR.7B1521B8CFB2"/>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image" Target="media/image5.png"/>
  <Relationship Id="rId16" Type="http://schemas.openxmlformats.org/officeDocument/2006/relationships/oleObject" Target="embeddings/oleObject1.bin"/>
  <Relationship Id="rId17" Type="http://schemas.openxmlformats.org/officeDocument/2006/relationships/image" Target="media/image50.png"/>
  <Relationship Id="rId18" Type="http://schemas.openxmlformats.org/officeDocument/2006/relationships/oleObject" Target="embeddings/oleObject2.bin"/>
  <Relationship Id="rId19" Type="http://schemas.openxmlformats.org/officeDocument/2006/relationships/image" Target="media/image6.emf"/>
  <Relationship Id="rId2" Type="http://schemas.openxmlformats.org/officeDocument/2006/relationships/styles" Target="styles.xml"/>
  <Relationship Id="rId20" Type="http://schemas.openxmlformats.org/officeDocument/2006/relationships/image" Target="media/image7.emf"/>
  <Relationship Id="rId21" Type="http://schemas.openxmlformats.org/officeDocument/2006/relationships/image" Target="media/image8.emf"/>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image" Target="media/image9.emf"/>
  <Relationship Id="rId29" Type="http://schemas.openxmlformats.org/officeDocument/2006/relationships/image" Target="media/image10.emf"/>
  <Relationship Id="rId3" Type="http://schemas.microsoft.com/office/2007/relationships/stylesWithEffects" Target="stylesWithEffects.xml"/>
  <Relationship Id="rId30" Type="http://schemas.openxmlformats.org/officeDocument/2006/relationships/image" Target="media/image11.emf"/>
  <Relationship Id="rId31" Type="http://schemas.openxmlformats.org/officeDocument/2006/relationships/image" Target="media/image12.emf"/>
  <Relationship Id="rId32" Type="http://schemas.openxmlformats.org/officeDocument/2006/relationships/image" Target="media/image13.emf"/>
  <Relationship Id="rId33" Type="http://schemas.openxmlformats.org/officeDocument/2006/relationships/image" Target="media/image14.emf"/>
  <Relationship Id="rId34" Type="http://schemas.openxmlformats.org/officeDocument/2006/relationships/image" Target="media/image15.emf"/>
  <Relationship Id="rId35" Type="http://schemas.openxmlformats.org/officeDocument/2006/relationships/image" Target="media/image16.emf"/>
  <Relationship Id="rId36" Type="http://schemas.openxmlformats.org/officeDocument/2006/relationships/image" Target="media/image17.emf"/>
  <Relationship Id="rId37" Type="http://schemas.openxmlformats.org/officeDocument/2006/relationships/image" Target="media/image18.emf"/>
  <Relationship Id="rId38" Type="http://schemas.openxmlformats.org/officeDocument/2006/relationships/image" Target="media/image19.emf"/>
  <Relationship Id="rId39" Type="http://schemas.openxmlformats.org/officeDocument/2006/relationships/image" Target="media/image20.emf"/>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20983</Words>
  <Characters>11961</Characters>
  <Application>Microsoft Office Word</Application>
  <DocSecurity>0</DocSecurity>
  <Lines>99</Lines>
  <Paragraphs>65</Paragraphs>
  <ScaleCrop>false</ScaleCrop>
  <Company/>
  <LinksUpToDate>false</LinksUpToDate>
  <CharactersWithSpaces>32879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2015-07-04T03:09:00Z</dcterms:created>
  <dc:creator>marina.buivid@gmail.com</dc:creator>
  <lastModifiedBy>JUOSPONIENĖ Karolina</lastModifiedBy>
  <dcterms:modified xsi:type="dcterms:W3CDTF">2020-10-12T08:20:00Z</dcterms:modified>
  <revision>3</revision>
</coreProperties>
</file>