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3536" w14:textId="77777777" w:rsidR="005261AC" w:rsidRDefault="005261AC">
      <w:pPr>
        <w:tabs>
          <w:tab w:val="center" w:pos="4153"/>
          <w:tab w:val="right" w:pos="8306"/>
        </w:tabs>
        <w:rPr>
          <w:lang w:val="en-GB"/>
        </w:rPr>
      </w:pPr>
    </w:p>
    <w:p w14:paraId="22793537" w14:textId="77777777" w:rsidR="005261AC" w:rsidRDefault="00087354">
      <w:pPr>
        <w:widowControl w:val="0"/>
        <w:jc w:val="center"/>
        <w:rPr>
          <w:caps/>
        </w:rPr>
      </w:pPr>
      <w:r>
        <w:rPr>
          <w:caps/>
          <w:lang w:val="en-US"/>
        </w:rPr>
        <w:pict w14:anchorId="22793576">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22793538" w14:textId="77777777" w:rsidR="005261AC" w:rsidRDefault="00087354">
      <w:pPr>
        <w:widowControl w:val="0"/>
        <w:jc w:val="center"/>
        <w:rPr>
          <w:caps/>
          <w:spacing w:val="60"/>
        </w:rPr>
      </w:pPr>
      <w:r>
        <w:rPr>
          <w:caps/>
          <w:spacing w:val="60"/>
        </w:rPr>
        <w:t>NUTARIMAS</w:t>
      </w:r>
    </w:p>
    <w:p w14:paraId="22793539" w14:textId="77777777" w:rsidR="005261AC" w:rsidRDefault="005261AC">
      <w:pPr>
        <w:widowControl w:val="0"/>
        <w:jc w:val="center"/>
        <w:outlineLvl w:val="1"/>
        <w:rPr>
          <w:caps/>
        </w:rPr>
      </w:pPr>
    </w:p>
    <w:p w14:paraId="2279353A" w14:textId="77777777" w:rsidR="005261AC" w:rsidRDefault="00087354">
      <w:pPr>
        <w:jc w:val="center"/>
        <w:rPr>
          <w:b/>
          <w:caps/>
        </w:rPr>
      </w:pPr>
      <w:r>
        <w:rPr>
          <w:b/>
          <w:caps/>
        </w:rPr>
        <w:t xml:space="preserve">DĖL </w:t>
      </w:r>
      <w:r>
        <w:rPr>
          <w:b/>
        </w:rPr>
        <w:t>LIETUVOS RESPUBLIKOS VYRIAUSYBĖS 2004 M. BIRŽELIO 10 D. NUTARIMO NR. 715 „DĖL LIETUVOS RESPUBLIKOS TERITORIJOS ADMINISTRACINIŲ VIENETŲ, GYVENAMŲJŲ VIETOVIŲ IR GATVIŲ VALSTYBĖ</w:t>
      </w:r>
      <w:r>
        <w:rPr>
          <w:b/>
        </w:rPr>
        <w:t>S REGISTRO REORGANIZAVIMO IR LIETUVOS RESPUBLIKOS ADRESŲ REGISTRO ĮSTEIGIMO“ PAKEITIMO</w:t>
      </w:r>
    </w:p>
    <w:p w14:paraId="2279353B" w14:textId="77777777" w:rsidR="005261AC" w:rsidRDefault="005261AC"/>
    <w:p w14:paraId="2279353C" w14:textId="77777777" w:rsidR="005261AC" w:rsidRDefault="00087354">
      <w:pPr>
        <w:jc w:val="center"/>
      </w:pPr>
      <w:r>
        <w:t>2010 m. birželio 16 d. Nr. 794</w:t>
      </w:r>
    </w:p>
    <w:p w14:paraId="2279353D" w14:textId="77777777" w:rsidR="005261AC" w:rsidRDefault="00087354">
      <w:pPr>
        <w:jc w:val="center"/>
      </w:pPr>
      <w:r>
        <w:t>Vilnius</w:t>
      </w:r>
    </w:p>
    <w:p w14:paraId="2279353E" w14:textId="77777777" w:rsidR="005261AC" w:rsidRDefault="005261AC">
      <w:pPr>
        <w:jc w:val="center"/>
      </w:pPr>
    </w:p>
    <w:p w14:paraId="2279353F" w14:textId="77777777" w:rsidR="005261AC" w:rsidRDefault="00087354">
      <w:pPr>
        <w:ind w:firstLine="567"/>
        <w:jc w:val="both"/>
      </w:pPr>
      <w:r>
        <w:t xml:space="preserve">Lietuvos Respublikos Vyriausybė </w:t>
      </w:r>
      <w:r>
        <w:rPr>
          <w:spacing w:val="60"/>
        </w:rPr>
        <w:t>nutari</w:t>
      </w:r>
      <w:r>
        <w:t>a:</w:t>
      </w:r>
    </w:p>
    <w:p w14:paraId="22793540" w14:textId="77777777" w:rsidR="005261AC" w:rsidRDefault="00087354">
      <w:pPr>
        <w:ind w:firstLine="567"/>
        <w:jc w:val="both"/>
      </w:pPr>
      <w:r>
        <w:t>Pakeisti Lietuvos Respublikos adresų registro nuostatus, patvirtintus Lietuvos Respub</w:t>
      </w:r>
      <w:r>
        <w:t xml:space="preserve">likos Vyriausybės 2004 m. birželio 10 d. nutarimu Nr. 715 „Dėl Lietuvos Respublikos teritorijos administracinių vienetų, gyvenamųjų vietovių ir gatvių valstybės registro reorganizavimo ir Lietuvos Respublikos adresų registro įsteigimo“ (Žin., 2004, Nr. </w:t>
      </w:r>
      <w:hyperlink r:id="rId10" w:tgtFrame="_blank" w:history="1">
        <w:r>
          <w:rPr>
            <w:color w:val="0000FF" w:themeColor="hyperlink"/>
            <w:u w:val="single"/>
          </w:rPr>
          <w:t>93-3415</w:t>
        </w:r>
      </w:hyperlink>
      <w:r>
        <w:t xml:space="preserve">; 2007, Nr. </w:t>
      </w:r>
      <w:hyperlink r:id="rId11" w:tgtFrame="_blank" w:history="1">
        <w:r>
          <w:rPr>
            <w:color w:val="0000FF" w:themeColor="hyperlink"/>
            <w:u w:val="single"/>
          </w:rPr>
          <w:t>105-4311</w:t>
        </w:r>
      </w:hyperlink>
      <w:r>
        <w:t>):</w:t>
      </w:r>
    </w:p>
    <w:p w14:paraId="22793541" w14:textId="77777777" w:rsidR="005261AC" w:rsidRDefault="00087354">
      <w:pPr>
        <w:ind w:firstLine="567"/>
        <w:jc w:val="both"/>
      </w:pPr>
      <w:r>
        <w:t>1</w:t>
      </w:r>
      <w:r>
        <w:t>. Įrašyti 3.4 punkte po žodžio „kaimai“ žodžius „ir viensėdžiai“.</w:t>
      </w:r>
    </w:p>
    <w:p w14:paraId="22793542" w14:textId="77777777" w:rsidR="005261AC" w:rsidRDefault="00087354">
      <w:pPr>
        <w:ind w:firstLine="567"/>
        <w:jc w:val="both"/>
      </w:pPr>
      <w:r>
        <w:t>2</w:t>
      </w:r>
      <w:r>
        <w:t>. Išdėstyti 3.6 punktą taip:</w:t>
      </w:r>
    </w:p>
    <w:p w14:paraId="22793543" w14:textId="77777777" w:rsidR="005261AC" w:rsidRDefault="00087354">
      <w:pPr>
        <w:ind w:firstLine="567"/>
        <w:jc w:val="both"/>
      </w:pPr>
      <w:r>
        <w:t>„</w:t>
      </w:r>
      <w:r>
        <w:t>3.6</w:t>
      </w:r>
      <w:r>
        <w:t>. adresai.“</w:t>
      </w:r>
    </w:p>
    <w:p w14:paraId="22793544" w14:textId="77777777" w:rsidR="005261AC" w:rsidRDefault="00087354">
      <w:pPr>
        <w:ind w:firstLine="567"/>
        <w:jc w:val="both"/>
      </w:pPr>
      <w:r>
        <w:t>3</w:t>
      </w:r>
      <w:r>
        <w:t>. Išdėstyti 5.3 punktą taip:</w:t>
      </w:r>
    </w:p>
    <w:p w14:paraId="22793545" w14:textId="77777777" w:rsidR="005261AC" w:rsidRDefault="00087354">
      <w:pPr>
        <w:ind w:firstLine="567"/>
        <w:jc w:val="both"/>
      </w:pPr>
      <w:r>
        <w:t>„</w:t>
      </w:r>
      <w:r>
        <w:t>5.3</w:t>
      </w:r>
      <w:r>
        <w:t>. savivaldybės vykdomoji institucija arba jos pavedimu – seniūnai;“.</w:t>
      </w:r>
    </w:p>
    <w:p w14:paraId="22793546" w14:textId="77777777" w:rsidR="005261AC" w:rsidRDefault="00087354">
      <w:pPr>
        <w:ind w:firstLine="567"/>
        <w:jc w:val="both"/>
      </w:pPr>
      <w:r>
        <w:t>4</w:t>
      </w:r>
      <w:r>
        <w:t>. Papildyti 5</w:t>
      </w:r>
      <w:r>
        <w:rPr>
          <w:vertAlign w:val="superscript"/>
        </w:rPr>
        <w:t xml:space="preserve">1 </w:t>
      </w:r>
      <w:r>
        <w:t>punktu:</w:t>
      </w:r>
    </w:p>
    <w:p w14:paraId="22793547" w14:textId="77777777" w:rsidR="005261AC" w:rsidRDefault="00087354">
      <w:pPr>
        <w:ind w:firstLine="567"/>
        <w:jc w:val="both"/>
      </w:pPr>
      <w:r>
        <w:t>„</w:t>
      </w:r>
      <w:r>
        <w:t>5</w:t>
      </w:r>
      <w:r>
        <w:rPr>
          <w:vertAlign w:val="superscript"/>
        </w:rPr>
        <w:t>1</w:t>
      </w:r>
      <w:r>
        <w:t xml:space="preserve">. Visi registre esantys duomenys nuo jų įrašymo </w:t>
      </w:r>
      <w:r>
        <w:t>laikomi teisingais ir išsamiais.“</w:t>
      </w:r>
    </w:p>
    <w:p w14:paraId="22793548" w14:textId="77777777" w:rsidR="005261AC" w:rsidRDefault="00087354">
      <w:pPr>
        <w:ind w:firstLine="567"/>
        <w:jc w:val="both"/>
      </w:pPr>
      <w:r>
        <w:t>5</w:t>
      </w:r>
      <w:r>
        <w:t>. Išdėstyti 15.4.4 punktą taip:</w:t>
      </w:r>
    </w:p>
    <w:p w14:paraId="22793549" w14:textId="77777777" w:rsidR="005261AC" w:rsidRDefault="00087354">
      <w:pPr>
        <w:ind w:firstLine="567"/>
        <w:jc w:val="both"/>
      </w:pPr>
      <w:r>
        <w:t>„</w:t>
      </w:r>
      <w:r>
        <w:t>15.4.4</w:t>
      </w:r>
      <w:r>
        <w:t>. gyvenamosios vietovės tipas (miestas, miestelis, kaimas, viensėdis). Gali būti nurodyti ir kiti faktiškai egzistuojantys tipai, iki jie bus pakeisti įstatymų nustatyta tv</w:t>
      </w:r>
      <w:r>
        <w:t>arka;“.</w:t>
      </w:r>
    </w:p>
    <w:p w14:paraId="2279354A" w14:textId="77777777" w:rsidR="005261AC" w:rsidRDefault="00087354">
      <w:pPr>
        <w:ind w:firstLine="567"/>
        <w:jc w:val="both"/>
      </w:pPr>
      <w:r>
        <w:t>6</w:t>
      </w:r>
      <w:r>
        <w:t>. Išdėstyti 15.5.3 punktą taip:</w:t>
      </w:r>
    </w:p>
    <w:p w14:paraId="2279354B" w14:textId="77777777" w:rsidR="005261AC" w:rsidRDefault="00087354">
      <w:pPr>
        <w:ind w:firstLine="567"/>
        <w:jc w:val="both"/>
      </w:pPr>
      <w:r>
        <w:t>„</w:t>
      </w:r>
      <w:r>
        <w:t>15.5.3</w:t>
      </w:r>
      <w:r>
        <w:t>. gatvės tipas;“.</w:t>
      </w:r>
    </w:p>
    <w:p w14:paraId="2279354C" w14:textId="77777777" w:rsidR="005261AC" w:rsidRDefault="00087354">
      <w:pPr>
        <w:ind w:firstLine="567"/>
        <w:jc w:val="both"/>
      </w:pPr>
      <w:r>
        <w:t>7</w:t>
      </w:r>
      <w:r>
        <w:t>. Išdėstyti 15.6 punktą taip:</w:t>
      </w:r>
    </w:p>
    <w:p w14:paraId="2279354D" w14:textId="77777777" w:rsidR="005261AC" w:rsidRDefault="00087354">
      <w:pPr>
        <w:ind w:firstLine="567"/>
        <w:jc w:val="both"/>
      </w:pPr>
      <w:r>
        <w:t>„</w:t>
      </w:r>
      <w:r>
        <w:t>15.6</w:t>
      </w:r>
      <w:r>
        <w:t>. adresus, suteiktus žemės sklypams ir (ar) pastatams,</w:t>
      </w:r>
      <w:r>
        <w:rPr>
          <w:b/>
        </w:rPr>
        <w:t xml:space="preserve"> </w:t>
      </w:r>
      <w:r>
        <w:t>apibūdinantys duomenys:</w:t>
      </w:r>
    </w:p>
    <w:p w14:paraId="2279354E" w14:textId="77777777" w:rsidR="005261AC" w:rsidRDefault="00087354">
      <w:pPr>
        <w:ind w:firstLine="567"/>
        <w:jc w:val="both"/>
      </w:pPr>
      <w:r>
        <w:t>15.6.1</w:t>
      </w:r>
      <w:r>
        <w:t>. adreso identifikavimo kodas;</w:t>
      </w:r>
    </w:p>
    <w:p w14:paraId="2279354F" w14:textId="77777777" w:rsidR="005261AC" w:rsidRDefault="00087354">
      <w:pPr>
        <w:ind w:firstLine="567"/>
        <w:jc w:val="both"/>
      </w:pPr>
      <w:r>
        <w:t>15.6.2</w:t>
      </w:r>
      <w:r>
        <w:t>. žemė</w:t>
      </w:r>
      <w:r>
        <w:t>s sklypo ir (ar) pastato numeris gatvėje arba gyvenamojoje vietovėje;</w:t>
      </w:r>
    </w:p>
    <w:p w14:paraId="22793550" w14:textId="77777777" w:rsidR="005261AC" w:rsidRDefault="00087354">
      <w:pPr>
        <w:ind w:firstLine="567"/>
        <w:jc w:val="both"/>
      </w:pPr>
      <w:r>
        <w:t>15.6.3</w:t>
      </w:r>
      <w:r>
        <w:t xml:space="preserve">. </w:t>
      </w:r>
      <w:r>
        <w:rPr>
          <w:bCs/>
        </w:rPr>
        <w:t xml:space="preserve">antrinis </w:t>
      </w:r>
      <w:r>
        <w:t xml:space="preserve">žemės sklypo ir (ar) pastato </w:t>
      </w:r>
      <w:r>
        <w:rPr>
          <w:bCs/>
        </w:rPr>
        <w:t xml:space="preserve">numeris gatvėje (prie gatvių sankryžos esančio </w:t>
      </w:r>
      <w:r>
        <w:t xml:space="preserve">žemės sklypo ir (ar) </w:t>
      </w:r>
      <w:r>
        <w:rPr>
          <w:bCs/>
        </w:rPr>
        <w:t>pastato numeris antroje gatvėje), jeigu suteiktas</w:t>
      </w:r>
      <w:r>
        <w:t>;</w:t>
      </w:r>
    </w:p>
    <w:p w14:paraId="22793551" w14:textId="77777777" w:rsidR="005261AC" w:rsidRDefault="00087354">
      <w:pPr>
        <w:ind w:firstLine="567"/>
        <w:jc w:val="both"/>
      </w:pPr>
      <w:r>
        <w:t>15.6.4</w:t>
      </w:r>
      <w:r>
        <w:t>. pasta</w:t>
      </w:r>
      <w:r>
        <w:t>to pavadinimas, jeigu suteiktas</w:t>
      </w:r>
      <w:r>
        <w:rPr>
          <w:b/>
        </w:rPr>
        <w:t xml:space="preserve"> </w:t>
      </w:r>
      <w:r>
        <w:t>tuo adresu esančiam adreso objektui;</w:t>
      </w:r>
    </w:p>
    <w:p w14:paraId="22793552" w14:textId="77777777" w:rsidR="005261AC" w:rsidRDefault="00087354">
      <w:pPr>
        <w:keepNext/>
        <w:ind w:firstLine="567"/>
        <w:jc w:val="both"/>
      </w:pPr>
      <w:r>
        <w:t>15.6.5</w:t>
      </w:r>
      <w:r>
        <w:t>. adreso vietą unikaliai išreiškiantys duomenys (koordinatės) LKS-94;</w:t>
      </w:r>
    </w:p>
    <w:p w14:paraId="22793553" w14:textId="77777777" w:rsidR="005261AC" w:rsidRDefault="00087354">
      <w:pPr>
        <w:ind w:firstLine="567"/>
        <w:jc w:val="both"/>
      </w:pPr>
      <w:r>
        <w:t>15.6.6</w:t>
      </w:r>
      <w:r>
        <w:t>. žemės sklypo ir (ar) pastato numerio gatvėje arba gyvenamojoje vietovėje priklausomybė gatvei a</w:t>
      </w:r>
      <w:r>
        <w:t>rba gyvenamajai vietovei;</w:t>
      </w:r>
    </w:p>
    <w:p w14:paraId="22793554" w14:textId="77777777" w:rsidR="005261AC" w:rsidRDefault="00087354">
      <w:pPr>
        <w:ind w:firstLine="567"/>
        <w:jc w:val="both"/>
      </w:pPr>
      <w:r>
        <w:t>15.6.7</w:t>
      </w:r>
      <w:r>
        <w:t>. adreso objekto priklausomybė antrai gatvei (kampiniams pastatams);</w:t>
      </w:r>
    </w:p>
    <w:p w14:paraId="22793555" w14:textId="77777777" w:rsidR="005261AC" w:rsidRDefault="00087354">
      <w:pPr>
        <w:ind w:firstLine="567"/>
        <w:jc w:val="both"/>
      </w:pPr>
      <w:r>
        <w:t>15.6.8</w:t>
      </w:r>
      <w:r>
        <w:t>. nustatyta tvarka universaliųjų pašto paslaugų teikėjo adresui priskirti:</w:t>
      </w:r>
    </w:p>
    <w:p w14:paraId="22793556" w14:textId="77777777" w:rsidR="005261AC" w:rsidRDefault="00087354">
      <w:pPr>
        <w:ind w:firstLine="567"/>
        <w:jc w:val="both"/>
      </w:pPr>
      <w:r>
        <w:t>15.6.8.1</w:t>
      </w:r>
      <w:r>
        <w:t>. pašto kodas;</w:t>
      </w:r>
    </w:p>
    <w:p w14:paraId="22793557" w14:textId="77777777" w:rsidR="005261AC" w:rsidRDefault="00087354">
      <w:pPr>
        <w:ind w:firstLine="567"/>
        <w:jc w:val="both"/>
      </w:pPr>
      <w:r>
        <w:t>15.6.8.2</w:t>
      </w:r>
      <w:r>
        <w:t>. universaliųjų pašto paslaug</w:t>
      </w:r>
      <w:r>
        <w:t>ų teikimo vietos pavadinimas;</w:t>
      </w:r>
    </w:p>
    <w:p w14:paraId="22793558" w14:textId="77777777" w:rsidR="005261AC" w:rsidRDefault="00087354">
      <w:pPr>
        <w:ind w:firstLine="567"/>
        <w:jc w:val="both"/>
      </w:pPr>
      <w:r>
        <w:t>15.6.9</w:t>
      </w:r>
      <w:r>
        <w:t>. korpuso numeris (jeigu suteiktas);</w:t>
      </w:r>
    </w:p>
    <w:p w14:paraId="22793559" w14:textId="77777777" w:rsidR="005261AC" w:rsidRDefault="00087354">
      <w:pPr>
        <w:ind w:firstLine="567"/>
        <w:jc w:val="both"/>
      </w:pPr>
      <w:r>
        <w:t>15.6.10</w:t>
      </w:r>
      <w:r>
        <w:t>. korpuso priklausomybė pastato numeriui gatvėje arba gyvenamojoje vietovėje.“</w:t>
      </w:r>
    </w:p>
    <w:p w14:paraId="2279355A" w14:textId="77777777" w:rsidR="005261AC" w:rsidRDefault="00087354">
      <w:pPr>
        <w:ind w:firstLine="567"/>
        <w:jc w:val="both"/>
        <w:rPr>
          <w:strike/>
        </w:rPr>
      </w:pPr>
      <w:r>
        <w:t>8</w:t>
      </w:r>
      <w:r>
        <w:t>. Pripažinti netekusiu galios 15.7 punktą.</w:t>
      </w:r>
    </w:p>
    <w:p w14:paraId="2279355B" w14:textId="77777777" w:rsidR="005261AC" w:rsidRDefault="00087354">
      <w:pPr>
        <w:ind w:firstLine="567"/>
        <w:jc w:val="both"/>
      </w:pPr>
      <w:r>
        <w:t>9</w:t>
      </w:r>
      <w:r>
        <w:t xml:space="preserve">. Išdėstyti 15.8 punktą </w:t>
      </w:r>
      <w:r>
        <w:t>taip:</w:t>
      </w:r>
    </w:p>
    <w:p w14:paraId="2279355C" w14:textId="77777777" w:rsidR="005261AC" w:rsidRDefault="00087354">
      <w:pPr>
        <w:ind w:firstLine="567"/>
        <w:jc w:val="both"/>
      </w:pPr>
      <w:r>
        <w:t>„</w:t>
      </w:r>
      <w:r>
        <w:t>15.8</w:t>
      </w:r>
      <w:r>
        <w:t>. adresą, suteiktą patalpoms, apibūdinantys duomenys:</w:t>
      </w:r>
    </w:p>
    <w:p w14:paraId="2279355D" w14:textId="77777777" w:rsidR="005261AC" w:rsidRDefault="00087354">
      <w:pPr>
        <w:ind w:firstLine="567"/>
        <w:jc w:val="both"/>
      </w:pPr>
      <w:r>
        <w:t>15.8.1</w:t>
      </w:r>
      <w:r>
        <w:t>. adreso identifikavimo kodas;</w:t>
      </w:r>
    </w:p>
    <w:p w14:paraId="2279355E" w14:textId="77777777" w:rsidR="005261AC" w:rsidRDefault="00087354">
      <w:pPr>
        <w:ind w:firstLine="567"/>
        <w:jc w:val="both"/>
      </w:pPr>
      <w:r>
        <w:t>15.8.2</w:t>
      </w:r>
      <w:r>
        <w:t>. patalpų numeris pastate ar korpuse;</w:t>
      </w:r>
    </w:p>
    <w:p w14:paraId="2279355F" w14:textId="77777777" w:rsidR="005261AC" w:rsidRDefault="00087354">
      <w:pPr>
        <w:ind w:firstLine="567"/>
        <w:jc w:val="both"/>
      </w:pPr>
      <w:r>
        <w:t>15.8.3</w:t>
      </w:r>
      <w:r>
        <w:t>. patalpų numerio priklausomybė pastatui ar korpusui;“.</w:t>
      </w:r>
    </w:p>
    <w:p w14:paraId="22793560" w14:textId="77777777" w:rsidR="005261AC" w:rsidRDefault="00087354">
      <w:pPr>
        <w:ind w:firstLine="567"/>
        <w:jc w:val="both"/>
      </w:pPr>
      <w:r>
        <w:t>10</w:t>
      </w:r>
      <w:r>
        <w:t xml:space="preserve">. Išdėstyti 18.2 punktą </w:t>
      </w:r>
      <w:r>
        <w:t>taip:</w:t>
      </w:r>
    </w:p>
    <w:p w14:paraId="22793561" w14:textId="77777777" w:rsidR="005261AC" w:rsidRDefault="00087354">
      <w:pPr>
        <w:ind w:firstLine="567"/>
        <w:jc w:val="both"/>
      </w:pPr>
      <w:r>
        <w:t>„</w:t>
      </w:r>
      <w:r>
        <w:t>18.2</w:t>
      </w:r>
      <w:r>
        <w:t xml:space="preserve">. Lietuvos Respublikos Vyriausybės nutarimo dėl pavadinimo gyvenamajai vietovei suteikimo ir keitimo, gyvenamosios vietovės panaikinimo, jos teritorijos ribų nustatymo ir keitimo kopiją </w:t>
      </w:r>
      <w:r>
        <w:rPr>
          <w:bCs/>
        </w:rPr>
        <w:t>ir dokumento, patvirtinančio duomenis, nurodytus šių Nuos</w:t>
      </w:r>
      <w:r>
        <w:rPr>
          <w:bCs/>
        </w:rPr>
        <w:t>tatų 15.4.2 ir 15.4.3 punktuose, kopiją</w:t>
      </w:r>
      <w:r>
        <w:t>;“.</w:t>
      </w:r>
    </w:p>
    <w:p w14:paraId="22793562" w14:textId="77777777" w:rsidR="005261AC" w:rsidRDefault="00087354">
      <w:pPr>
        <w:ind w:firstLine="567"/>
        <w:jc w:val="both"/>
      </w:pPr>
      <w:r>
        <w:t>11</w:t>
      </w:r>
      <w:r>
        <w:t>. Išdėstyti 20 punkto pirmąją pastraipą taip:</w:t>
      </w:r>
    </w:p>
    <w:p w14:paraId="22793563" w14:textId="77777777" w:rsidR="005261AC" w:rsidRDefault="00087354">
      <w:pPr>
        <w:ind w:firstLine="567"/>
        <w:jc w:val="both"/>
      </w:pPr>
      <w:r>
        <w:t>„</w:t>
      </w:r>
      <w:r>
        <w:t>20</w:t>
      </w:r>
      <w:r>
        <w:t>. Savivaldybės vykdomoji institucija arba jos pavedimu seniūnai pateikia:“.</w:t>
      </w:r>
    </w:p>
    <w:p w14:paraId="22793564" w14:textId="77777777" w:rsidR="005261AC" w:rsidRDefault="00087354">
      <w:pPr>
        <w:ind w:firstLine="567"/>
        <w:jc w:val="both"/>
      </w:pPr>
      <w:r>
        <w:t>12</w:t>
      </w:r>
      <w:r>
        <w:t>. Išbraukti 23.2.1 punkte žodžius „ir suinteresuotų apskričių virš</w:t>
      </w:r>
      <w:r>
        <w:t>ininkams“.</w:t>
      </w:r>
    </w:p>
    <w:p w14:paraId="22793565" w14:textId="77777777" w:rsidR="005261AC" w:rsidRDefault="00087354">
      <w:pPr>
        <w:ind w:firstLine="567"/>
        <w:jc w:val="both"/>
      </w:pPr>
      <w:r>
        <w:t>13</w:t>
      </w:r>
      <w:r>
        <w:t>. Išbraukti 23.2.2 punkte žodžius „suinteresuotos apskrities viršininkui ir“.</w:t>
      </w:r>
    </w:p>
    <w:p w14:paraId="22793566" w14:textId="77777777" w:rsidR="005261AC" w:rsidRDefault="00087354">
      <w:pPr>
        <w:ind w:firstLine="567"/>
        <w:jc w:val="both"/>
      </w:pPr>
      <w:r>
        <w:t>14</w:t>
      </w:r>
      <w:r>
        <w:t>. Įrašyti 25 punkte po žodžio „gauta“ žodžius „</w:t>
      </w:r>
      <w:r>
        <w:rPr>
          <w:bCs/>
        </w:rPr>
        <w:t>šių Nuostatų 24 punkte nurodyta“.</w:t>
      </w:r>
    </w:p>
    <w:p w14:paraId="22793567" w14:textId="77777777" w:rsidR="005261AC" w:rsidRDefault="00087354">
      <w:pPr>
        <w:ind w:firstLine="567"/>
        <w:jc w:val="both"/>
      </w:pPr>
      <w:r>
        <w:t>15</w:t>
      </w:r>
      <w:r>
        <w:t>. Papildyti 28.3 punktu:</w:t>
      </w:r>
    </w:p>
    <w:p w14:paraId="22793568" w14:textId="77777777" w:rsidR="005261AC" w:rsidRDefault="00087354">
      <w:pPr>
        <w:ind w:firstLine="567"/>
        <w:jc w:val="both"/>
      </w:pPr>
      <w:r>
        <w:t>„</w:t>
      </w:r>
      <w:r>
        <w:t>28.3</w:t>
      </w:r>
      <w:r>
        <w:t>. dokumentus pateikė ne tas subjekta</w:t>
      </w:r>
      <w:r>
        <w:t>s, kuris pagal šiuos Nuostatus turi juos pateikti;“.</w:t>
      </w:r>
    </w:p>
    <w:p w14:paraId="22793569" w14:textId="77777777" w:rsidR="005261AC" w:rsidRDefault="00087354">
      <w:pPr>
        <w:ind w:firstLine="567"/>
        <w:jc w:val="both"/>
      </w:pPr>
      <w:r>
        <w:t>16</w:t>
      </w:r>
      <w:r>
        <w:t>. Papildyti 28.4 punktu:</w:t>
      </w:r>
    </w:p>
    <w:p w14:paraId="2279356A" w14:textId="77777777" w:rsidR="005261AC" w:rsidRDefault="00087354">
      <w:pPr>
        <w:ind w:firstLine="567"/>
        <w:jc w:val="both"/>
        <w:rPr>
          <w:bCs/>
        </w:rPr>
      </w:pPr>
      <w:r>
        <w:t>„</w:t>
      </w:r>
      <w:r>
        <w:rPr>
          <w:bCs/>
        </w:rPr>
        <w:t>28.4</w:t>
      </w:r>
      <w:r>
        <w:rPr>
          <w:bCs/>
        </w:rPr>
        <w:t>. jau yra priimtas registro tvarkytojo sprendimas atsisakyti registruoti tą patį registro objektą remiantis tais pačiais dokumentais.“</w:t>
      </w:r>
    </w:p>
    <w:p w14:paraId="2279356B" w14:textId="77777777" w:rsidR="005261AC" w:rsidRDefault="00087354">
      <w:pPr>
        <w:ind w:firstLine="567"/>
        <w:jc w:val="both"/>
      </w:pPr>
      <w:r>
        <w:t>17</w:t>
      </w:r>
      <w:r>
        <w:t xml:space="preserve">. Įrašyti 35 </w:t>
      </w:r>
      <w:r>
        <w:t>punkte vietoj žodžio „nenaudoja“ žodį „nekaupia“.</w:t>
      </w:r>
    </w:p>
    <w:p w14:paraId="2279356C" w14:textId="77777777" w:rsidR="005261AC" w:rsidRDefault="00087354">
      <w:pPr>
        <w:ind w:firstLine="567"/>
        <w:jc w:val="both"/>
      </w:pPr>
      <w:r>
        <w:t>18</w:t>
      </w:r>
      <w:r>
        <w:t>. Išdėstyti 58 punktą taip:</w:t>
      </w:r>
    </w:p>
    <w:p w14:paraId="2279356D" w14:textId="77777777" w:rsidR="005261AC" w:rsidRDefault="00087354">
      <w:pPr>
        <w:ind w:firstLine="567"/>
        <w:jc w:val="both"/>
      </w:pPr>
      <w:r>
        <w:t>„</w:t>
      </w:r>
      <w:r>
        <w:t>58</w:t>
      </w:r>
      <w:r>
        <w:t>. Europos Sąjungos valstybių narių, kitų Europos ekonominės erdvės valstybių ir trečiųjų šalių fiziniams, juridiniams asmenims, juridinių asmenų statuso neturintiems s</w:t>
      </w:r>
      <w:r>
        <w:t>ubjektams, jų filialams ir atstovybėms registro duomenys teikiami tokia pat tvarka kaip ir Lietuvos Respublikos fiziniams ir juridiniams asmenims, jeigu tai neprieštarauja Lietuvos Respublikos įstatymams, tarptautinėms sutartims ir kitiems teisės aktams.“</w:t>
      </w:r>
    </w:p>
    <w:p w14:paraId="2279356E" w14:textId="77777777" w:rsidR="005261AC" w:rsidRDefault="00087354">
      <w:pPr>
        <w:ind w:firstLine="567"/>
        <w:jc w:val="both"/>
      </w:pPr>
      <w:r>
        <w:t>19</w:t>
      </w:r>
      <w:r>
        <w:t>. Pripažinti netekusiu galios 59 punktą.</w:t>
      </w:r>
    </w:p>
    <w:p w14:paraId="22793571" w14:textId="7C526D12" w:rsidR="005261AC" w:rsidRDefault="00087354" w:rsidP="00087354">
      <w:pPr>
        <w:ind w:firstLine="567"/>
        <w:jc w:val="both"/>
      </w:pPr>
      <w:r>
        <w:t>20</w:t>
      </w:r>
      <w:r>
        <w:t>. Šio nutarimo 12 ir 13 punktai įsigalioja 2010 m. liepos 1 dieną.</w:t>
      </w:r>
    </w:p>
    <w:p w14:paraId="3C3EE7B2" w14:textId="77777777" w:rsidR="00087354" w:rsidRDefault="00087354">
      <w:pPr>
        <w:tabs>
          <w:tab w:val="right" w:pos="9071"/>
        </w:tabs>
      </w:pPr>
    </w:p>
    <w:p w14:paraId="6DE0CCF0" w14:textId="77777777" w:rsidR="00087354" w:rsidRDefault="00087354">
      <w:pPr>
        <w:tabs>
          <w:tab w:val="right" w:pos="9071"/>
        </w:tabs>
      </w:pPr>
    </w:p>
    <w:p w14:paraId="64230095" w14:textId="77777777" w:rsidR="00087354" w:rsidRDefault="00087354">
      <w:pPr>
        <w:tabs>
          <w:tab w:val="right" w:pos="9071"/>
        </w:tabs>
      </w:pPr>
    </w:p>
    <w:p w14:paraId="22793572" w14:textId="219C19A9" w:rsidR="005261AC" w:rsidRDefault="00087354">
      <w:pPr>
        <w:tabs>
          <w:tab w:val="right" w:pos="9071"/>
        </w:tabs>
      </w:pPr>
      <w:r>
        <w:t>MINI</w:t>
      </w:r>
      <w:r>
        <w:t>STRAS PIRMININKAS</w:t>
      </w:r>
      <w:r>
        <w:tab/>
        <w:t>ANDRIUS KUBILIUS</w:t>
      </w:r>
    </w:p>
    <w:p w14:paraId="22793573" w14:textId="77777777" w:rsidR="005261AC" w:rsidRDefault="005261AC"/>
    <w:p w14:paraId="7C9135B8" w14:textId="77777777" w:rsidR="00087354" w:rsidRDefault="00087354"/>
    <w:p w14:paraId="69C6BF10" w14:textId="77777777" w:rsidR="00087354" w:rsidRDefault="00087354"/>
    <w:p w14:paraId="22793575" w14:textId="089CC652" w:rsidR="005261AC" w:rsidRDefault="00087354" w:rsidP="00087354">
      <w:pPr>
        <w:tabs>
          <w:tab w:val="right" w:pos="9071"/>
        </w:tabs>
      </w:pPr>
      <w:r>
        <w:t>TEISINGUMO MINISTRAS</w:t>
      </w:r>
      <w:r>
        <w:tab/>
        <w:t>REMIGIJUS ŠIMAŠIUS</w:t>
      </w:r>
    </w:p>
    <w:bookmarkStart w:id="0" w:name="_GoBack" w:displacedByCustomXml="next"/>
    <w:bookmarkEnd w:id="0" w:displacedByCustomXml="next"/>
    <w:sectPr w:rsidR="005261A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93579" w14:textId="77777777" w:rsidR="005261AC" w:rsidRDefault="00087354">
      <w:r>
        <w:separator/>
      </w:r>
    </w:p>
  </w:endnote>
  <w:endnote w:type="continuationSeparator" w:id="0">
    <w:p w14:paraId="2279357A" w14:textId="77777777" w:rsidR="005261AC" w:rsidRDefault="0008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7E" w14:textId="77777777" w:rsidR="005261AC" w:rsidRDefault="005261A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7F" w14:textId="77777777" w:rsidR="005261AC" w:rsidRDefault="005261A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81" w14:textId="77777777" w:rsidR="005261AC" w:rsidRDefault="005261A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93577" w14:textId="77777777" w:rsidR="005261AC" w:rsidRDefault="00087354">
      <w:r>
        <w:separator/>
      </w:r>
    </w:p>
  </w:footnote>
  <w:footnote w:type="continuationSeparator" w:id="0">
    <w:p w14:paraId="22793578" w14:textId="77777777" w:rsidR="005261AC" w:rsidRDefault="0008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7B" w14:textId="77777777" w:rsidR="005261AC" w:rsidRDefault="00087354">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2279357C" w14:textId="77777777" w:rsidR="005261AC" w:rsidRDefault="005261AC">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7D" w14:textId="77777777" w:rsidR="005261AC" w:rsidRDefault="005261AC">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3580" w14:textId="77777777" w:rsidR="005261AC" w:rsidRDefault="005261A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5B"/>
    <w:rsid w:val="00087354"/>
    <w:rsid w:val="005261AC"/>
    <w:rsid w:val="00A82D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9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39B704AEA5E"/>
  <Relationship Id="rId11" Type="http://schemas.openxmlformats.org/officeDocument/2006/relationships/hyperlink" TargetMode="External" Target="https://www.e-tar.lt/portal/lt/legalAct/TAR.C10A57EA1F95"/>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3042</Words>
  <Characters>1735</Characters>
  <Application>Microsoft Office Word</Application>
  <DocSecurity>0</DocSecurity>
  <Lines>14</Lines>
  <Paragraphs>9</Paragraphs>
  <ScaleCrop>false</ScaleCrop>
  <Company>LRVK</Company>
  <LinksUpToDate>false</LinksUpToDate>
  <CharactersWithSpaces>4768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2015-06-18T08:53:00Z</dcterms:created>
  <dc:creator>lrvk</dc:creator>
  <lastModifiedBy>BODIN Aušra</lastModifiedBy>
  <lastPrinted>2010-06-22T05:59:00Z</lastPrinted>
  <dcterms:modified xsi:type="dcterms:W3CDTF">2015-06-18T11:45:00Z</dcterms:modified>
  <revision>3</revision>
</coreProperties>
</file>