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ŠILUMOS ŪKIO ĮSTATYMO 33 STRAIPSNIO PAKEITIMO ĮSTATYMAS</w:t>
      </w:r>
    </w:p>
    <w:p>
      <w:pPr>
        <w:widowControl w:val="0"/>
        <w:ind w:firstLine="567"/>
        <w:jc w:val="both"/>
        <w:rPr>
          <w:b/>
          <w:bCs/>
          <w:color w:val="000000"/>
          <w:szCs w:val="24"/>
          <w:lang w:eastAsia="lt-LT"/>
        </w:rPr>
      </w:pPr>
    </w:p>
    <w:p>
      <w:pPr>
        <w:widowControl w:val="0"/>
        <w:jc w:val="center"/>
        <w:rPr>
          <w:color w:val="000000"/>
          <w:szCs w:val="24"/>
          <w:lang w:eastAsia="lt-LT"/>
        </w:rPr>
      </w:pPr>
      <w:r>
        <w:rPr>
          <w:color w:val="000000"/>
          <w:szCs w:val="24"/>
          <w:lang w:eastAsia="lt-LT"/>
        </w:rPr>
        <w:t xml:space="preserve">2013 m. sausio 17 d. Nr. XII-152 </w:t>
      </w:r>
    </w:p>
    <w:p>
      <w:pPr>
        <w:widowControl w:val="0"/>
        <w:jc w:val="center"/>
        <w:rPr>
          <w:color w:val="000000"/>
          <w:szCs w:val="24"/>
          <w:lang w:eastAsia="lt-LT"/>
        </w:rPr>
      </w:pPr>
      <w:r>
        <w:rPr>
          <w:color w:val="000000"/>
          <w:szCs w:val="24"/>
          <w:lang w:eastAsia="lt-LT"/>
        </w:rPr>
        <w:t>Vilnius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(Žin., 2003, Nr. </w:t>
      </w:r>
      <w:fldSimple w:instr="HYPERLINK https://www.e-tar.lt/portal/lt/legalAct/TAR.F62AD965997D \t _blank">
        <w:r>
          <w:rPr>
            <w:color w:val="0000FF" w:themeColor="hyperlink"/>
            <w:szCs w:val="24"/>
            <w:lang w:eastAsia="lt-LT"/>
            <w:u w:val="single"/>
          </w:rPr>
          <w:t>51-2254</w:t>
        </w:r>
      </w:fldSimple>
      <w:r>
        <w:rPr>
          <w:color w:val="000000"/>
          <w:szCs w:val="24"/>
          <w:lang w:eastAsia="lt-LT"/>
        </w:rPr>
        <w:t>; 2007, Nr. </w:t>
      </w:r>
      <w:fldSimple w:instr="HYPERLINK https://www.e-tar.lt/portal/lt/legalAct/TAR.A601A252F765 \t _blank">
        <w:r>
          <w:rPr>
            <w:color w:val="0000FF" w:themeColor="hyperlink"/>
            <w:szCs w:val="24"/>
            <w:lang w:eastAsia="lt-LT"/>
            <w:u w:val="single"/>
          </w:rPr>
          <w:t>130-5259</w:t>
        </w:r>
      </w:fldSimple>
      <w:r>
        <w:rPr>
          <w:color w:val="000000"/>
          <w:szCs w:val="24"/>
          <w:lang w:eastAsia="lt-LT"/>
        </w:rPr>
        <w:t>; 2009, Nr. </w:t>
      </w:r>
      <w:fldSimple w:instr="HYPERLINK https://www.e-tar.lt/portal/lt/legalAct/TAR.9C5DEC45B23B \t _blank">
        <w:r>
          <w:rPr>
            <w:color w:val="0000FF" w:themeColor="hyperlink"/>
            <w:szCs w:val="24"/>
            <w:lang w:eastAsia="lt-LT"/>
            <w:u w:val="single"/>
          </w:rPr>
          <w:t>10-355</w:t>
        </w:r>
      </w:fldSimple>
      <w:r>
        <w:rPr>
          <w:color w:val="000000"/>
          <w:szCs w:val="24"/>
          <w:lang w:eastAsia="lt-LT"/>
        </w:rPr>
        <w:t>)</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33 straipsnio pakeitimas</w:t>
      </w:r>
    </w:p>
    <w:p>
      <w:pPr>
        <w:widowControl w:val="0"/>
        <w:ind w:firstLine="567"/>
        <w:jc w:val="both"/>
        <w:rPr>
          <w:color w:val="000000"/>
          <w:szCs w:val="24"/>
          <w:lang w:eastAsia="lt-LT"/>
        </w:rPr>
      </w:pPr>
      <w:r>
        <w:rPr>
          <w:color w:val="000000"/>
          <w:szCs w:val="24"/>
          <w:lang w:eastAsia="lt-LT"/>
        </w:rPr>
        <w:t>Pakeisti 33 straipsnį ir jį išdėstyti taip:</w:t>
      </w:r>
    </w:p>
    <w:p>
      <w:pPr>
        <w:ind w:firstLine="567"/>
        <w:jc w:val="both"/>
        <w:rPr>
          <w:szCs w:val="24"/>
          <w:lang w:eastAsia="lt-LT"/>
        </w:rPr>
      </w:pPr>
    </w:p>
    <w:p>
      <w:pPr>
        <w:widowControl w:val="0"/>
        <w:ind w:firstLine="567"/>
        <w:rPr>
          <w:b/>
          <w:bCs/>
          <w:color w:val="000000"/>
          <w:szCs w:val="24"/>
          <w:lang w:eastAsia="lt-LT"/>
        </w:rPr>
      </w:pPr>
      <w:r>
        <w:rPr>
          <w:color w:val="000000"/>
          <w:szCs w:val="24"/>
          <w:lang w:eastAsia="lt-LT"/>
        </w:rPr>
        <w:t>„</w:t>
      </w:r>
      <w:r>
        <w:rPr>
          <w:b/>
          <w:bCs/>
          <w:color w:val="000000"/>
          <w:szCs w:val="24"/>
          <w:lang w:eastAsia="lt-LT"/>
        </w:rPr>
        <w:t>33</w:t>
      </w:r>
      <w:r>
        <w:rPr>
          <w:b/>
          <w:bCs/>
          <w:color w:val="000000"/>
          <w:szCs w:val="24"/>
          <w:lang w:eastAsia="lt-LT"/>
        </w:rPr>
        <w:t xml:space="preserve"> straipsnis. </w:t>
      </w:r>
      <w:r>
        <w:rPr>
          <w:b/>
          <w:bCs/>
          <w:color w:val="000000"/>
          <w:szCs w:val="24"/>
          <w:lang w:eastAsia="lt-LT"/>
        </w:rPr>
        <w:t>Maksimalios šilumos suvartojimo normos daugiabučiuose namuose</w:t>
      </w:r>
    </w:p>
    <w:p>
      <w:pPr>
        <w:widowControl w:val="0"/>
        <w:ind w:firstLine="567"/>
        <w:jc w:val="both"/>
        <w:rPr>
          <w:color w:val="000000"/>
          <w:szCs w:val="24"/>
          <w:lang w:eastAsia="lt-LT"/>
        </w:rPr>
      </w:pPr>
      <w:r>
        <w:rPr>
          <w:color w:val="000000"/>
          <w:szCs w:val="24"/>
          <w:lang w:eastAsia="lt-LT"/>
        </w:rPr>
        <w:t>1</w:t>
      </w:r>
      <w:r>
        <w:rPr>
          <w:color w:val="000000"/>
          <w:szCs w:val="24"/>
          <w:lang w:eastAsia="lt-LT"/>
        </w:rPr>
        <w:t>. Valstybinė kainų ir energetikos kontrolės komisija nustato ir prireikus pakeičia maksimalias šilumos suvartojimo daugiabučių namų butams ir kitoms patalpoms šildyti normas. Šios normos skelbiamos viešai. Jos taikomos daugiabučiuose namuose, kurie energiją vartoja neefektyviai ir neatitinka privalomųjų energijos vartojimo efektyvumo reikalavimų. Vyriausybės įgaliota institucija nustato, ar daugiabučiame name energija vartojama efektyviai ir (ar) yra tenkinami privalomieji energijos vartojimo efektyvumo reikalavimai.</w:t>
      </w:r>
    </w:p>
    <w:p>
      <w:pPr>
        <w:widowControl w:val="0"/>
        <w:ind w:firstLine="567"/>
        <w:jc w:val="both"/>
        <w:rPr>
          <w:color w:val="000000"/>
          <w:szCs w:val="24"/>
          <w:lang w:eastAsia="lt-LT"/>
        </w:rPr>
      </w:pPr>
      <w:r>
        <w:rPr>
          <w:color w:val="000000"/>
          <w:szCs w:val="24"/>
          <w:lang w:eastAsia="lt-LT"/>
        </w:rPr>
        <w:t>2</w:t>
      </w:r>
      <w:r>
        <w:rPr>
          <w:color w:val="000000"/>
          <w:szCs w:val="24"/>
          <w:lang w:eastAsia="lt-LT"/>
        </w:rPr>
        <w:t>. Savivaldybės institucija gali nustatyti ir griežtesnes maksimalias šilumos suvartojimo daugiabučių namų butams ir kitoms patalpoms šildyti normas negu Valstybinės kainų ir energetikos kontrolės komisijos nustatytosios, jeigu, įgyvendinus energijos vartojimo efektyvumo didinimo priemones, sutaupomos išlaidos šilumos energijai padengs vartotojų investicijų šilumos energijos taupymo priemonėms sąnaudas. Išlaidos šilumos energijai, sutaupomos įgyvendinus energijos vartojimo efektyvumo didinimo priemones, nustatomos vadovaujantis Energetikos ministerijos ir Aplinkos ministerijos patvirtinta tvarka.</w:t>
      </w:r>
    </w:p>
    <w:p>
      <w:pPr>
        <w:widowControl w:val="0"/>
        <w:ind w:firstLine="567"/>
        <w:jc w:val="both"/>
        <w:rPr>
          <w:color w:val="000000"/>
          <w:szCs w:val="24"/>
          <w:lang w:eastAsia="lt-LT"/>
        </w:rPr>
      </w:pPr>
      <w:r>
        <w:rPr>
          <w:color w:val="000000"/>
          <w:szCs w:val="24"/>
          <w:lang w:eastAsia="lt-LT"/>
        </w:rPr>
        <w:t>3</w:t>
      </w:r>
      <w:r>
        <w:rPr>
          <w:color w:val="000000"/>
          <w:szCs w:val="24"/>
          <w:lang w:eastAsia="lt-LT"/>
        </w:rPr>
        <w:t>. Savivaldybės institucija turi teisę įpareigoti daugiabučio namo, kuriame buvo viršyta maksimali šilumos suvartojimo norma, butų ir kitų patalpų savininkus Vyriausybės nustatyta tvarka per 24 mėnesius rekonstruoti namo šildymo ir (ar) karšto vandens sistemas pagal privalomuosius reikalavimus ir (ar) atlikti kitus daugiabučio namo atnaujinimo (modernizavimo) darbus ir tokiu būdu užtikrinti daugiabučio namo atitiktį minimaliems pastatų energinio naudingumo reikalavimams.</w:t>
      </w:r>
    </w:p>
    <w:p>
      <w:pPr>
        <w:widowControl w:val="0"/>
        <w:ind w:firstLine="567"/>
        <w:jc w:val="both"/>
        <w:rPr>
          <w:color w:val="000000"/>
          <w:szCs w:val="24"/>
          <w:lang w:eastAsia="lt-LT"/>
        </w:rPr>
      </w:pPr>
      <w:r>
        <w:rPr>
          <w:color w:val="000000"/>
          <w:szCs w:val="24"/>
          <w:lang w:eastAsia="lt-LT"/>
        </w:rPr>
        <w:t>4</w:t>
      </w:r>
      <w:r>
        <w:rPr>
          <w:color w:val="000000"/>
          <w:szCs w:val="24"/>
          <w:lang w:eastAsia="lt-LT"/>
        </w:rPr>
        <w:t>. Daugiabučių namų butų ir (ar) kitų patalpų savininkai turi teisę Vyriausybės nustatyta tvarka gauti paramą iš Daugiabučių namų atnaujinimo (modernizavimo) programos ir kitų lėšų šio straipsnio 3 dalyje nustatytam įpareigojimui įgyvendinti.“</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įgyvendinimas</w:t>
      </w:r>
    </w:p>
    <w:p>
      <w:pPr>
        <w:widowControl w:val="0"/>
        <w:ind w:firstLine="567"/>
        <w:jc w:val="both"/>
        <w:rPr>
          <w:color w:val="000000"/>
          <w:szCs w:val="24"/>
          <w:lang w:eastAsia="lt-LT"/>
        </w:rPr>
      </w:pPr>
      <w:r>
        <w:rPr>
          <w:color w:val="000000"/>
          <w:szCs w:val="24"/>
          <w:lang w:eastAsia="lt-LT"/>
        </w:rPr>
        <w:t>Lietuvos Respublikos Vyriausybė ar jos įgaliota institucija, Valstybinė kainų ir energetikos kontrolės komisija priima šio įstatymo įgyvendinamuosius teisės aktus.</w:t>
      </w:r>
    </w:p>
    <w:p>
      <w:pPr>
        <w:widowControl w:val="0"/>
        <w:ind w:firstLine="567"/>
        <w:jc w:val="both"/>
        <w:rPr>
          <w:color w:val="000000"/>
          <w:szCs w:val="24"/>
          <w:lang w:eastAsia="lt-LT"/>
        </w:rPr>
      </w:pPr>
    </w:p>
    <w:p>
      <w:pPr>
        <w:widowControl w:val="0"/>
        <w:ind w:firstLine="567"/>
        <w:jc w:val="both"/>
        <w:rPr>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2221</Characters>
  <Application>Microsoft Office Word</Application>
  <DocSecurity>4</DocSecurity>
  <Lines>44</Lines>
  <Paragraphs>18</Paragraphs>
  <ScaleCrop>false</ScaleCrop>
  <Company/>
  <LinksUpToDate>false</LinksUpToDate>
  <CharactersWithSpaces>2500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2015-09-30T17:57:00Z</dcterms:created>
  <dc:creator>Rima</dc:creator>
  <lastModifiedBy>Adlib User</lastModifiedBy>
  <dcterms:modified xsi:type="dcterms:W3CDTF">2015-09-30T17:57:00Z</dcterms:modified>
  <revision>2</revision>
  <dc:title>LIETUVOS RESPUBLIKOS ŠILUMOS ŪKIO ĮSTATYMO 33 STRAIPSNIO PAKEITIMO ĮSTATYMAS</dc:title>
</coreProperties>
</file>