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BD976" w14:textId="41DB0A55" w:rsidR="00221A38" w:rsidRPr="004B5AFF" w:rsidRDefault="00156166">
      <w:pPr>
        <w:jc w:val="center"/>
        <w:rPr>
          <w:b/>
          <w:lang w:eastAsia="lt-LT"/>
        </w:rPr>
      </w:pPr>
      <w:r>
        <w:rPr>
          <w:b/>
          <w:lang w:val="en-US"/>
        </w:rPr>
        <w:pict w14:anchorId="338BD9BC">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75pt;height:.75pt;z-index:251657728;visibility:hidden;mso-position-horizontal-relative:text;mso-position-vertical-relative:text" stroked="f">
            <v:imagedata r:id="rId8" o:title=""/>
          </v:shape>
          <w:control r:id="rId9" w:name="Control 4" w:shapeid="_x0000_s1028"/>
        </w:pict>
      </w:r>
      <w:r w:rsidR="004B5AFF" w:rsidRPr="004B5AFF">
        <w:rPr>
          <w:b/>
          <w:lang w:eastAsia="lt-LT"/>
        </w:rPr>
        <w:t xml:space="preserve">VALSTYBINĖS MOKESČIŲ INSPEKCIJOS </w:t>
      </w:r>
    </w:p>
    <w:p w14:paraId="338BD977" w14:textId="77777777" w:rsidR="00221A38" w:rsidRPr="004B5AFF" w:rsidRDefault="004B5AFF">
      <w:pPr>
        <w:jc w:val="center"/>
        <w:rPr>
          <w:b/>
          <w:lang w:eastAsia="lt-LT"/>
        </w:rPr>
      </w:pPr>
      <w:r w:rsidRPr="004B5AFF">
        <w:rPr>
          <w:b/>
          <w:lang w:eastAsia="lt-LT"/>
        </w:rPr>
        <w:t>PRIE LIETUVOS RESPUBLIKOS FINANSŲ MINISTERIJOS VIRŠININKO</w:t>
      </w:r>
    </w:p>
    <w:p w14:paraId="6F4C8033" w14:textId="77777777" w:rsidR="004B5AFF" w:rsidRPr="004B5AFF" w:rsidRDefault="004B5AFF">
      <w:pPr>
        <w:jc w:val="center"/>
        <w:rPr>
          <w:b/>
          <w:lang w:eastAsia="lt-LT"/>
        </w:rPr>
      </w:pPr>
    </w:p>
    <w:p w14:paraId="338BD979" w14:textId="64DF0841" w:rsidR="00221A38" w:rsidRPr="004B5AFF" w:rsidRDefault="004B5AFF">
      <w:pPr>
        <w:jc w:val="center"/>
        <w:rPr>
          <w:b/>
          <w:lang w:eastAsia="lt-LT"/>
        </w:rPr>
      </w:pPr>
      <w:r w:rsidRPr="004B5AFF">
        <w:rPr>
          <w:b/>
          <w:lang w:eastAsia="lt-LT"/>
        </w:rPr>
        <w:t>ĮSAKYMAS</w:t>
      </w:r>
    </w:p>
    <w:p w14:paraId="338BD97A" w14:textId="77777777" w:rsidR="00221A38" w:rsidRDefault="004B5AFF">
      <w:pPr>
        <w:jc w:val="center"/>
        <w:rPr>
          <w:b/>
          <w:bCs/>
          <w:lang w:eastAsia="lt-LT"/>
        </w:rPr>
      </w:pPr>
      <w:r>
        <w:rPr>
          <w:b/>
          <w:bCs/>
          <w:lang w:eastAsia="lt-LT"/>
        </w:rPr>
        <w:t>DĖL VALSTYBINĖS MOKESČIŲ INSPEKCIJOS PRIE LIETUVOS RESPUBLIKOS FINANSŲ MINISTERIJOS VIRŠININKO 2003 M. SAUSIO 24 D. ĮSAKYMO NR. V-21 „DĖL PRAŠYMO PERSKAIČIUOTI PAJAMŲ MOKESTĮ PATEIKIMO TAISYKLIŲ“ PAKEITIMO</w:t>
      </w:r>
    </w:p>
    <w:p w14:paraId="338BD97B" w14:textId="77777777" w:rsidR="00221A38" w:rsidRDefault="00221A38">
      <w:pPr>
        <w:jc w:val="center"/>
        <w:rPr>
          <w:lang w:eastAsia="lt-LT"/>
        </w:rPr>
      </w:pPr>
    </w:p>
    <w:p w14:paraId="338BD97C" w14:textId="77777777" w:rsidR="00221A38" w:rsidRDefault="004B5AFF">
      <w:pPr>
        <w:jc w:val="center"/>
        <w:rPr>
          <w:lang w:eastAsia="lt-LT"/>
        </w:rPr>
      </w:pPr>
      <w:r>
        <w:rPr>
          <w:lang w:eastAsia="lt-LT"/>
        </w:rPr>
        <w:t>2009 m. kovo 5 d. Nr. VA-22</w:t>
      </w:r>
    </w:p>
    <w:p w14:paraId="338BD97D" w14:textId="77777777" w:rsidR="00221A38" w:rsidRDefault="004B5AFF">
      <w:pPr>
        <w:jc w:val="center"/>
        <w:rPr>
          <w:lang w:eastAsia="lt-LT"/>
        </w:rPr>
      </w:pPr>
      <w:r>
        <w:rPr>
          <w:lang w:eastAsia="lt-LT"/>
        </w:rPr>
        <w:t>Vilnius</w:t>
      </w:r>
    </w:p>
    <w:p w14:paraId="338BD97E" w14:textId="77777777" w:rsidR="00221A38" w:rsidRDefault="00221A38">
      <w:pPr>
        <w:rPr>
          <w:lang w:eastAsia="lt-LT"/>
        </w:rPr>
      </w:pPr>
    </w:p>
    <w:p w14:paraId="2529241E" w14:textId="77777777" w:rsidR="004B5AFF" w:rsidRDefault="004B5AFF">
      <w:pPr>
        <w:rPr>
          <w:lang w:eastAsia="lt-LT"/>
        </w:rPr>
      </w:pPr>
    </w:p>
    <w:p w14:paraId="338BD97F" w14:textId="77777777" w:rsidR="00221A38" w:rsidRDefault="00156166">
      <w:pPr>
        <w:ind w:firstLine="567"/>
        <w:jc w:val="both"/>
        <w:rPr>
          <w:lang w:eastAsia="lt-LT"/>
        </w:rPr>
      </w:pPr>
      <w:r w:rsidR="004B5AFF">
        <w:rPr>
          <w:lang w:eastAsia="lt-LT"/>
        </w:rPr>
        <w:t>1</w:t>
      </w:r>
      <w:r w:rsidR="004B5AFF">
        <w:rPr>
          <w:lang w:eastAsia="lt-LT"/>
        </w:rPr>
        <w:t xml:space="preserve">. </w:t>
      </w:r>
      <w:r w:rsidR="004B5AFF">
        <w:rPr>
          <w:spacing w:val="60"/>
          <w:lang w:eastAsia="lt-LT"/>
        </w:rPr>
        <w:t>Pakeiči</w:t>
      </w:r>
      <w:r w:rsidR="004B5AFF">
        <w:rPr>
          <w:lang w:eastAsia="lt-LT"/>
        </w:rPr>
        <w:t>u:</w:t>
      </w:r>
    </w:p>
    <w:p w14:paraId="338BD980" w14:textId="77777777" w:rsidR="00221A38" w:rsidRDefault="00156166">
      <w:pPr>
        <w:ind w:firstLine="567"/>
        <w:jc w:val="both"/>
        <w:rPr>
          <w:lang w:eastAsia="lt-LT"/>
        </w:rPr>
      </w:pPr>
      <w:r w:rsidR="004B5AFF">
        <w:rPr>
          <w:lang w:eastAsia="lt-LT"/>
        </w:rPr>
        <w:t>1.1</w:t>
      </w:r>
      <w:r w:rsidR="004B5AFF">
        <w:rPr>
          <w:lang w:eastAsia="lt-LT"/>
        </w:rPr>
        <w:t xml:space="preserve">. Prašymo perskaičiuoti pajamų mokestį pateikimo taisykles, patvirtintas Valstybinės mokesčių inspekcijos prie Lietuvos Respublikos finansų ministerijos viršininko 2003 m. sausio 24 d. įsakymu Nr. V-21 (Žin., 2003, Nr. </w:t>
      </w:r>
      <w:hyperlink r:id="rId10" w:tgtFrame="_blank" w:history="1">
        <w:r w:rsidR="004B5AFF">
          <w:rPr>
            <w:color w:val="0000FF" w:themeColor="hyperlink"/>
            <w:u w:val="single"/>
            <w:lang w:eastAsia="lt-LT"/>
          </w:rPr>
          <w:t>10-387</w:t>
        </w:r>
      </w:hyperlink>
      <w:r w:rsidR="004B5AFF">
        <w:rPr>
          <w:lang w:eastAsia="lt-LT"/>
        </w:rPr>
        <w:t xml:space="preserve">; 2006, Nr. </w:t>
      </w:r>
      <w:hyperlink r:id="rId11" w:tgtFrame="_blank" w:history="1">
        <w:r w:rsidR="004B5AFF">
          <w:rPr>
            <w:color w:val="0000FF" w:themeColor="hyperlink"/>
            <w:u w:val="single"/>
            <w:lang w:eastAsia="lt-LT"/>
          </w:rPr>
          <w:t>135-5127</w:t>
        </w:r>
      </w:hyperlink>
      <w:r w:rsidR="004B5AFF">
        <w:rPr>
          <w:lang w:eastAsia="lt-LT"/>
        </w:rPr>
        <w:t>, toliau – Taisyklės):</w:t>
      </w:r>
    </w:p>
    <w:p w14:paraId="338BD981" w14:textId="77777777" w:rsidR="00221A38" w:rsidRDefault="00156166">
      <w:pPr>
        <w:ind w:firstLine="567"/>
        <w:jc w:val="both"/>
        <w:rPr>
          <w:lang w:eastAsia="lt-LT"/>
        </w:rPr>
      </w:pPr>
      <w:r w:rsidR="004B5AFF">
        <w:rPr>
          <w:lang w:eastAsia="lt-LT"/>
        </w:rPr>
        <w:t>1.1.1</w:t>
      </w:r>
      <w:r w:rsidR="004B5AFF">
        <w:rPr>
          <w:lang w:eastAsia="lt-LT"/>
        </w:rPr>
        <w:t>. Išdėstau Taisyklių pavadinimą taip:</w:t>
      </w:r>
    </w:p>
    <w:p w14:paraId="338BD982" w14:textId="77777777" w:rsidR="00221A38" w:rsidRDefault="004B5AFF">
      <w:pPr>
        <w:ind w:firstLine="567"/>
        <w:jc w:val="both"/>
        <w:rPr>
          <w:lang w:eastAsia="lt-LT"/>
        </w:rPr>
      </w:pPr>
      <w:r>
        <w:rPr>
          <w:lang w:eastAsia="lt-LT"/>
        </w:rPr>
        <w:t>„Prašymo perskaičiuoti pajamų mokestį, privalomojo sveikatos draudimo įmokas ir grąžinti permoką įforminimo, pateikimo bei nagrinėjimo taisyklės“.</w:t>
      </w:r>
    </w:p>
    <w:p w14:paraId="338BD983" w14:textId="77777777" w:rsidR="00221A38" w:rsidRDefault="00156166">
      <w:pPr>
        <w:ind w:firstLine="567"/>
        <w:jc w:val="both"/>
        <w:rPr>
          <w:lang w:eastAsia="lt-LT"/>
        </w:rPr>
      </w:pPr>
      <w:r w:rsidR="004B5AFF">
        <w:rPr>
          <w:lang w:eastAsia="lt-LT"/>
        </w:rPr>
        <w:t>1.1.2</w:t>
      </w:r>
      <w:r w:rsidR="004B5AFF">
        <w:rPr>
          <w:lang w:eastAsia="lt-LT"/>
        </w:rPr>
        <w:t>. Išdėstau Taisyklių 1 punktą taip:</w:t>
      </w:r>
    </w:p>
    <w:p w14:paraId="338BD984" w14:textId="77777777" w:rsidR="00221A38" w:rsidRDefault="004B5AFF">
      <w:pPr>
        <w:ind w:firstLine="567"/>
        <w:jc w:val="both"/>
        <w:rPr>
          <w:lang w:eastAsia="lt-LT"/>
        </w:rPr>
      </w:pPr>
      <w:r>
        <w:rPr>
          <w:lang w:eastAsia="lt-LT"/>
        </w:rPr>
        <w:t>„</w:t>
      </w:r>
      <w:r>
        <w:rPr>
          <w:lang w:eastAsia="lt-LT"/>
        </w:rPr>
        <w:t>1</w:t>
      </w:r>
      <w:r>
        <w:rPr>
          <w:lang w:eastAsia="lt-LT"/>
        </w:rPr>
        <w:t>. Šios Prašymo perskaičiuoti pajamų mokestį, privalomojo sveikatos draudimo įmokas ir grąžinti permoką įforminimo, pateikimo bei nagrinėjimo taisyklės nustato nuolatinio ir nenuolatinio Lietuvos gyventojo arba jų įgalioto asmens Prašymo perskaičiuoti pajamų mokestį FR0464 formos (toliau – prašymo forma), skirtos grąžinti pajamų mokesčio ir privalomojo sveikatos draudimo įmokų permoką, ir prie prašymo formos Pridedamų dokumentų aprašo FR0465 formos (toliau – aprašo forma) užpildymo ir pateikimo apskrities valstybinės mokesčių inspekcijos teritoriniam skyriui (toliau – AVMI) tvarką.“</w:t>
      </w:r>
    </w:p>
    <w:p w14:paraId="338BD985" w14:textId="77777777" w:rsidR="00221A38" w:rsidRDefault="00156166">
      <w:pPr>
        <w:ind w:firstLine="567"/>
        <w:jc w:val="both"/>
        <w:rPr>
          <w:lang w:eastAsia="lt-LT"/>
        </w:rPr>
      </w:pPr>
      <w:r w:rsidR="004B5AFF">
        <w:rPr>
          <w:lang w:eastAsia="lt-LT"/>
        </w:rPr>
        <w:t>1.1.3</w:t>
      </w:r>
      <w:r w:rsidR="004B5AFF">
        <w:rPr>
          <w:lang w:eastAsia="lt-LT"/>
        </w:rPr>
        <w:t>. Išdėstau Taisyklių 2 punktą taip:</w:t>
      </w:r>
    </w:p>
    <w:p w14:paraId="338BD986" w14:textId="77777777" w:rsidR="00221A38" w:rsidRDefault="004B5AFF">
      <w:pPr>
        <w:ind w:firstLine="567"/>
        <w:jc w:val="both"/>
        <w:rPr>
          <w:lang w:eastAsia="lt-LT"/>
        </w:rPr>
      </w:pPr>
      <w:r>
        <w:rPr>
          <w:lang w:eastAsia="lt-LT"/>
        </w:rPr>
        <w:t>„</w:t>
      </w:r>
      <w:r>
        <w:rPr>
          <w:lang w:eastAsia="lt-LT"/>
        </w:rPr>
        <w:t>2</w:t>
      </w:r>
      <w:r>
        <w:rPr>
          <w:lang w:eastAsia="lt-LT"/>
        </w:rPr>
        <w:t xml:space="preserve">. Taisyklės parengtos vadovaujantis Lietuvos Respublikos gyventojų pajamų mokesčio įstatymo (Žin., 2002, Nr. </w:t>
      </w:r>
      <w:hyperlink r:id="rId12" w:tgtFrame="_blank" w:history="1">
        <w:r>
          <w:rPr>
            <w:color w:val="0000FF" w:themeColor="hyperlink"/>
            <w:u w:val="single"/>
            <w:lang w:eastAsia="lt-LT"/>
          </w:rPr>
          <w:t>73-3085</w:t>
        </w:r>
      </w:hyperlink>
      <w:r>
        <w:rPr>
          <w:lang w:eastAsia="lt-LT"/>
        </w:rPr>
        <w:t xml:space="preserve">; 2003, Nr. </w:t>
      </w:r>
      <w:hyperlink r:id="rId13" w:tgtFrame="_blank" w:history="1">
        <w:r>
          <w:rPr>
            <w:color w:val="0000FF" w:themeColor="hyperlink"/>
            <w:u w:val="single"/>
            <w:lang w:eastAsia="lt-LT"/>
          </w:rPr>
          <w:t>116-5254</w:t>
        </w:r>
      </w:hyperlink>
      <w:r>
        <w:rPr>
          <w:lang w:eastAsia="lt-LT"/>
        </w:rPr>
        <w:t xml:space="preserve">; 2008, 47-1750, Nr. 149-6033; toliau – GPMĮ) 19 ir 32 straipsnių, Lietuvos Respublikos sveikatos draudimo įstatymo (Žin., 1996, Nr. </w:t>
      </w:r>
      <w:hyperlink r:id="rId14" w:tgtFrame="_blank" w:history="1">
        <w:r>
          <w:rPr>
            <w:color w:val="0000FF" w:themeColor="hyperlink"/>
            <w:u w:val="single"/>
            <w:lang w:eastAsia="lt-LT"/>
          </w:rPr>
          <w:t>55-1287</w:t>
        </w:r>
      </w:hyperlink>
      <w:r>
        <w:rPr>
          <w:lang w:eastAsia="lt-LT"/>
        </w:rPr>
        <w:t xml:space="preserve">; 2002, Nr. </w:t>
      </w:r>
      <w:hyperlink r:id="rId15" w:tgtFrame="_blank" w:history="1">
        <w:r>
          <w:rPr>
            <w:color w:val="0000FF" w:themeColor="hyperlink"/>
            <w:u w:val="single"/>
            <w:lang w:eastAsia="lt-LT"/>
          </w:rPr>
          <w:t>123-5512</w:t>
        </w:r>
      </w:hyperlink>
      <w:r>
        <w:rPr>
          <w:lang w:eastAsia="lt-LT"/>
        </w:rPr>
        <w:t xml:space="preserve">; toliau – SDĮ) ir Lietuvos Respublikos mokesčių administravimo įstatymo (Žin., 2004, Nr. </w:t>
      </w:r>
      <w:hyperlink r:id="rId16" w:tgtFrame="_blank" w:history="1">
        <w:r>
          <w:rPr>
            <w:color w:val="0000FF" w:themeColor="hyperlink"/>
            <w:u w:val="single"/>
            <w:lang w:eastAsia="lt-LT"/>
          </w:rPr>
          <w:t>63-2243</w:t>
        </w:r>
      </w:hyperlink>
      <w:r>
        <w:rPr>
          <w:lang w:eastAsia="lt-LT"/>
        </w:rPr>
        <w:t xml:space="preserve">; 2007, Nr. </w:t>
      </w:r>
      <w:hyperlink r:id="rId17" w:tgtFrame="_blank" w:history="1">
        <w:r>
          <w:rPr>
            <w:color w:val="0000FF" w:themeColor="hyperlink"/>
            <w:u w:val="single"/>
            <w:lang w:eastAsia="lt-LT"/>
          </w:rPr>
          <w:t>80-3220</w:t>
        </w:r>
      </w:hyperlink>
      <w:r>
        <w:rPr>
          <w:lang w:eastAsia="lt-LT"/>
        </w:rPr>
        <w:t>; toliau – MAĮ) 87 straipsnio bei kitų Lietuvos Respublikos teisės aktų nuostatomis.“</w:t>
      </w:r>
    </w:p>
    <w:p w14:paraId="338BD987" w14:textId="77777777" w:rsidR="00221A38" w:rsidRDefault="00156166">
      <w:pPr>
        <w:ind w:firstLine="567"/>
        <w:jc w:val="both"/>
        <w:rPr>
          <w:lang w:eastAsia="lt-LT"/>
        </w:rPr>
      </w:pPr>
      <w:r w:rsidR="004B5AFF">
        <w:rPr>
          <w:lang w:eastAsia="lt-LT"/>
        </w:rPr>
        <w:t>1.1.4</w:t>
      </w:r>
      <w:r w:rsidR="004B5AFF">
        <w:rPr>
          <w:lang w:eastAsia="lt-LT"/>
        </w:rPr>
        <w:t>. Išdėstau Taisyklių 4 punktą taip:</w:t>
      </w:r>
    </w:p>
    <w:p w14:paraId="338BD988" w14:textId="77777777" w:rsidR="00221A38" w:rsidRDefault="004B5AFF">
      <w:pPr>
        <w:ind w:firstLine="567"/>
        <w:jc w:val="both"/>
        <w:rPr>
          <w:lang w:eastAsia="lt-LT"/>
        </w:rPr>
      </w:pPr>
      <w:r>
        <w:rPr>
          <w:lang w:eastAsia="lt-LT"/>
        </w:rPr>
        <w:t>„</w:t>
      </w:r>
      <w:r>
        <w:rPr>
          <w:lang w:eastAsia="lt-LT"/>
        </w:rPr>
        <w:t>4</w:t>
      </w:r>
      <w:r>
        <w:rPr>
          <w:lang w:eastAsia="lt-LT"/>
        </w:rPr>
        <w:t>. Nuolatinis Lietuvos gyventojas, gavęs pajamų iš Lietuvos vienetų, užsienio vienetų per jų nuolatines buveines arba iš nenuolatinių Lietuvos gyventojų per jų nuolatines bazes už ne individualios veiklos nenukirsto miško, apvaliosios medienos, netauriųjų metalų laužo pardavimą arba kitokį perleidimą nuosavybėn, nuo kurių GPMĮ 23 straipsnio nustatyta tvarka buvo išskaičiuotas pajamų mokestis bei pagal SDĮ nuostatas buvo išskaičiuotos privalomojo sveikatos draudimo įmokos, privalo tinkamai užpildytas prašymo ir aprašo formas pateikti AVMI, kurios aptarnaujamoje teritorijoje jis laikinai ar nuolatos gyvena.</w:t>
      </w:r>
    </w:p>
    <w:p w14:paraId="338BD989" w14:textId="77777777" w:rsidR="00221A38" w:rsidRDefault="004B5AFF">
      <w:pPr>
        <w:ind w:firstLine="567"/>
        <w:jc w:val="both"/>
        <w:rPr>
          <w:lang w:eastAsia="lt-LT"/>
        </w:rPr>
      </w:pPr>
      <w:r>
        <w:rPr>
          <w:lang w:eastAsia="lt-LT"/>
        </w:rPr>
        <w:t xml:space="preserve">Nenuolatinis Lietuvos gyventojas, gavęs pajamų iš Lietuvos vienetų, užsienio vienetų per jų nuolatines buveines arba iš nenuolatinių Lietuvos gyventojų per jų nuolatines bazes už parduotą ar kitokiu būdu perleistą nuosavybėn kilnojamąjį daiktą, jeigu šios rūšies daiktui pagal Lietuvos Respublikos teisės aktus privaloma teisinė registracija ir šis daiktas yra (ar privalo būti) įregistruotas Lietuvoje, taip pat nekilnojamąjį daiktą, esantį Lietuvoje, nuo kurių GPMĮ 23 straipsnio nustatyta tvarka buvo išskaičiuotas pajamų mokestis, privalo tinkamai užpildytas prašymo ir aprašo formas pateikti AVMI, kurios aptarnaujamoje teritorijoje jis yra deklaravęs savo gyvenamąją vietą, o jeigu nėra deklaravęs – pagal nuolatinės gyvenamosios </w:t>
      </w:r>
      <w:r>
        <w:rPr>
          <w:lang w:eastAsia="lt-LT"/>
        </w:rPr>
        <w:lastRenderedPageBreak/>
        <w:t>vietos adresą. Jeigu nenuolatinis Lietuvos gyventojas neturi nuolatinės gyvenamosios vietos Lietuvoje, tai prašymą jis turi pateikti tai AVMI, kurios teritorijoje parduotas ar kitaip perleistas nuosavybėn daiktas yra registruotas.“</w:t>
      </w:r>
    </w:p>
    <w:p w14:paraId="338BD98A" w14:textId="77777777" w:rsidR="00221A38" w:rsidRDefault="00156166">
      <w:pPr>
        <w:ind w:firstLine="567"/>
        <w:jc w:val="both"/>
        <w:rPr>
          <w:lang w:eastAsia="lt-LT"/>
        </w:rPr>
      </w:pPr>
      <w:r w:rsidR="004B5AFF">
        <w:rPr>
          <w:lang w:eastAsia="lt-LT"/>
        </w:rPr>
        <w:t>1.1.5</w:t>
      </w:r>
      <w:r w:rsidR="004B5AFF">
        <w:rPr>
          <w:lang w:eastAsia="lt-LT"/>
        </w:rPr>
        <w:t>. Išdėstau Taisyklių 5 punktą taip:</w:t>
      </w:r>
    </w:p>
    <w:p w14:paraId="338BD98B" w14:textId="77777777" w:rsidR="00221A38" w:rsidRDefault="004B5AFF">
      <w:pPr>
        <w:ind w:firstLine="567"/>
        <w:jc w:val="both"/>
        <w:rPr>
          <w:lang w:eastAsia="lt-LT"/>
        </w:rPr>
      </w:pPr>
      <w:r>
        <w:rPr>
          <w:lang w:eastAsia="lt-LT"/>
        </w:rPr>
        <w:t>„</w:t>
      </w:r>
      <w:r>
        <w:rPr>
          <w:lang w:eastAsia="lt-LT"/>
        </w:rPr>
        <w:t>5</w:t>
      </w:r>
      <w:r>
        <w:rPr>
          <w:lang w:eastAsia="lt-LT"/>
        </w:rPr>
        <w:t>. Nuolatinis Lietuvos gyventojas turi teisę:</w:t>
      </w:r>
    </w:p>
    <w:p w14:paraId="338BD98C" w14:textId="77777777" w:rsidR="00221A38" w:rsidRDefault="00156166">
      <w:pPr>
        <w:ind w:firstLine="567"/>
        <w:jc w:val="both"/>
        <w:rPr>
          <w:lang w:eastAsia="lt-LT"/>
        </w:rPr>
      </w:pPr>
      <w:r w:rsidR="004B5AFF">
        <w:rPr>
          <w:lang w:eastAsia="lt-LT"/>
        </w:rPr>
        <w:t>5.1</w:t>
      </w:r>
      <w:r w:rsidR="004B5AFF">
        <w:rPr>
          <w:lang w:eastAsia="lt-LT"/>
        </w:rPr>
        <w:t>. tinkamai užpildytą prašymo formą ir aprašo formą AVMI teikti tą mokestinį laikotarpį, kurį gavo daikto pardavimo ar kitokio perleidimo nuosavybėn pajamų,</w:t>
      </w:r>
    </w:p>
    <w:p w14:paraId="338BD98D" w14:textId="77777777" w:rsidR="00221A38" w:rsidRDefault="00156166">
      <w:pPr>
        <w:ind w:firstLine="567"/>
        <w:jc w:val="both"/>
        <w:rPr>
          <w:lang w:eastAsia="lt-LT"/>
        </w:rPr>
      </w:pPr>
      <w:r w:rsidR="004B5AFF">
        <w:rPr>
          <w:lang w:eastAsia="lt-LT"/>
        </w:rPr>
        <w:t>5.2</w:t>
      </w:r>
      <w:r w:rsidR="004B5AFF">
        <w:rPr>
          <w:lang w:eastAsia="lt-LT"/>
        </w:rPr>
        <w:t>. arba pajamų mokesčio ir privalomojo sveikatos draudimo įmokų permoką susigrąžinti pateikęs metinę pajamų mokesčio deklaraciją.“</w:t>
      </w:r>
    </w:p>
    <w:p w14:paraId="338BD98E" w14:textId="77777777" w:rsidR="00221A38" w:rsidRDefault="00156166">
      <w:pPr>
        <w:ind w:firstLine="567"/>
        <w:jc w:val="both"/>
        <w:rPr>
          <w:lang w:eastAsia="lt-LT"/>
        </w:rPr>
      </w:pPr>
      <w:r w:rsidR="004B5AFF">
        <w:rPr>
          <w:lang w:eastAsia="lt-LT"/>
        </w:rPr>
        <w:t>1.1.6</w:t>
      </w:r>
      <w:r w:rsidR="004B5AFF">
        <w:rPr>
          <w:lang w:eastAsia="lt-LT"/>
        </w:rPr>
        <w:t>. Išdėstau Taisyklių 13 punktą taip:</w:t>
      </w:r>
    </w:p>
    <w:p w14:paraId="338BD98F" w14:textId="77777777" w:rsidR="00221A38" w:rsidRDefault="004B5AFF">
      <w:pPr>
        <w:ind w:firstLine="567"/>
        <w:jc w:val="both"/>
        <w:rPr>
          <w:lang w:eastAsia="lt-LT"/>
        </w:rPr>
      </w:pPr>
      <w:r>
        <w:rPr>
          <w:lang w:eastAsia="lt-LT"/>
        </w:rPr>
        <w:t>„</w:t>
      </w:r>
      <w:r>
        <w:rPr>
          <w:lang w:eastAsia="lt-LT"/>
        </w:rPr>
        <w:t>13</w:t>
      </w:r>
      <w:r>
        <w:rPr>
          <w:lang w:eastAsia="lt-LT"/>
        </w:rPr>
        <w:t>. Prašymo formos A1 laukelyje turi būti rašomas gyventojo, prašančio perskaičiuoti pajamų mokestį ir privalomojo sveikatos draudimo įmokas, mokesčių mokėtojo identifikacinis numeris (asmens kodas). Jeigu prašymo formą pildo nenuolatinis Lietuvos gyventojas, turi būti įrašomas Lietuvos Respublikos gyventojų registro jam suteiktas asmens kodas.</w:t>
      </w:r>
    </w:p>
    <w:p w14:paraId="338BD990" w14:textId="77777777" w:rsidR="00221A38" w:rsidRDefault="004B5AFF">
      <w:pPr>
        <w:ind w:firstLine="567"/>
        <w:jc w:val="both"/>
        <w:rPr>
          <w:lang w:eastAsia="lt-LT"/>
        </w:rPr>
      </w:pPr>
      <w:r>
        <w:rPr>
          <w:lang w:eastAsia="lt-LT"/>
        </w:rPr>
        <w:t xml:space="preserve">Jeigu nenuolatinis Lietuvos gyventojas neturi Gyventojų registro jam suteikto asmens kodo, tai prašymo formoje turi būti nurodomas dešimties ženklų mokesčių mokėtojo identifikacinis numeris, jam priskirtas Mokesčių mokėtojų registro tvarkytojo. Tuo atveju, kai nenuolatinis Lietuvos gyventojas Lietuvoje neįregistruotas mokesčių mokėtoju, kartu su prašymo forma jis turi pateikti prašymą įregistruoti (išregistruoti) Mokesčių mokėtojų registre FR0224 formą, patvirtintą Valstybinės mokesčių inspekcijos prie Finansų ministerijos viršininko 2000 m. gruodžio 29 d. įsakymu Nr. 255 (Žin., 2001, Nr. </w:t>
      </w:r>
      <w:hyperlink r:id="rId18" w:tgtFrame="_blank" w:history="1">
        <w:r>
          <w:rPr>
            <w:color w:val="0000FF" w:themeColor="hyperlink"/>
            <w:u w:val="single"/>
            <w:lang w:eastAsia="lt-LT"/>
          </w:rPr>
          <w:t>3-64</w:t>
        </w:r>
      </w:hyperlink>
      <w:r>
        <w:rPr>
          <w:lang w:eastAsia="lt-LT"/>
        </w:rPr>
        <w:t xml:space="preserve">; 2004, Nr. </w:t>
      </w:r>
      <w:hyperlink r:id="rId19" w:tgtFrame="_blank" w:history="1">
        <w:r>
          <w:rPr>
            <w:color w:val="0000FF" w:themeColor="hyperlink"/>
            <w:u w:val="single"/>
            <w:lang w:eastAsia="lt-LT"/>
          </w:rPr>
          <w:t>113-4262</w:t>
        </w:r>
      </w:hyperlink>
      <w:r>
        <w:rPr>
          <w:lang w:eastAsia="lt-LT"/>
        </w:rPr>
        <w:t>). Suteiktą mokesčių mokėtojo kodą AVMI valstybės tarnautojas arba darbuotojas, dirbantis pagal darbo sutartį ir gaunantis darbo užmokestį iš valstybės biudžeto (toliau – darbuotojas) turi įrašyti A1 laukelyje.“</w:t>
      </w:r>
    </w:p>
    <w:p w14:paraId="338BD991" w14:textId="77777777" w:rsidR="00221A38" w:rsidRDefault="00156166">
      <w:pPr>
        <w:ind w:firstLine="567"/>
        <w:jc w:val="both"/>
        <w:rPr>
          <w:lang w:eastAsia="lt-LT"/>
        </w:rPr>
      </w:pPr>
      <w:r w:rsidR="004B5AFF">
        <w:rPr>
          <w:lang w:eastAsia="lt-LT"/>
        </w:rPr>
        <w:t>1.1.7</w:t>
      </w:r>
      <w:r w:rsidR="004B5AFF">
        <w:rPr>
          <w:lang w:eastAsia="lt-LT"/>
        </w:rPr>
        <w:t>. Išdėstau Taisyklių 16 punktą taip:</w:t>
      </w:r>
    </w:p>
    <w:p w14:paraId="338BD992" w14:textId="77777777" w:rsidR="00221A38" w:rsidRDefault="004B5AFF">
      <w:pPr>
        <w:ind w:firstLine="567"/>
        <w:jc w:val="both"/>
        <w:rPr>
          <w:lang w:eastAsia="lt-LT"/>
        </w:rPr>
      </w:pPr>
      <w:r>
        <w:rPr>
          <w:lang w:eastAsia="lt-LT"/>
        </w:rPr>
        <w:t>„</w:t>
      </w:r>
      <w:r>
        <w:rPr>
          <w:lang w:eastAsia="lt-LT"/>
        </w:rPr>
        <w:t>16</w:t>
      </w:r>
      <w:r>
        <w:rPr>
          <w:lang w:eastAsia="lt-LT"/>
        </w:rPr>
        <w:t>. A4 laukelyje – banke gyventojo turimos sąskaitos numeris, į kurią prašoma pervesti apskaičiuotą pajamų mokesčio ir privalomojo sveikatos draudimo įmokų permoką. Sąskaita nurodoma IBAN (angl. IBAN – International Bank Account Number) formatu.“</w:t>
      </w:r>
    </w:p>
    <w:p w14:paraId="338BD993" w14:textId="77777777" w:rsidR="00221A38" w:rsidRDefault="00156166">
      <w:pPr>
        <w:ind w:firstLine="567"/>
        <w:jc w:val="both"/>
        <w:rPr>
          <w:lang w:eastAsia="lt-LT"/>
        </w:rPr>
      </w:pPr>
      <w:r w:rsidR="004B5AFF">
        <w:rPr>
          <w:lang w:eastAsia="lt-LT"/>
        </w:rPr>
        <w:t>1.1.8</w:t>
      </w:r>
      <w:r w:rsidR="004B5AFF">
        <w:rPr>
          <w:lang w:eastAsia="lt-LT"/>
        </w:rPr>
        <w:t>. Išdėstau Taisyklių 18 punktą taip:</w:t>
      </w:r>
    </w:p>
    <w:p w14:paraId="338BD994" w14:textId="77777777" w:rsidR="00221A38" w:rsidRDefault="004B5AFF">
      <w:pPr>
        <w:ind w:firstLine="567"/>
        <w:jc w:val="both"/>
        <w:rPr>
          <w:lang w:eastAsia="lt-LT"/>
        </w:rPr>
      </w:pPr>
      <w:r>
        <w:rPr>
          <w:lang w:eastAsia="lt-LT"/>
        </w:rPr>
        <w:t>„</w:t>
      </w:r>
      <w:r>
        <w:rPr>
          <w:lang w:eastAsia="lt-LT"/>
        </w:rPr>
        <w:t>18</w:t>
      </w:r>
      <w:r>
        <w:rPr>
          <w:lang w:eastAsia="lt-LT"/>
        </w:rPr>
        <w:t xml:space="preserve">. Tuo atveju, jeigu gyventojas turi pavyzdinės formos arba laisvos formos pažymą, užpildytą vadovaujantis Valstybinės mokesčių inspekcijos prie Finansų ministerijos viršininko 2005 m. gruodžio 21 d. įsakymu Nr. VA-90 (Žin., 2005, Nr. </w:t>
      </w:r>
      <w:hyperlink r:id="rId20" w:tgtFrame="_blank" w:history="1">
        <w:r>
          <w:rPr>
            <w:color w:val="0000FF" w:themeColor="hyperlink"/>
            <w:u w:val="single"/>
            <w:lang w:eastAsia="lt-LT"/>
          </w:rPr>
          <w:t>152-5631</w:t>
        </w:r>
      </w:hyperlink>
      <w:r>
        <w:rPr>
          <w:lang w:eastAsia="lt-LT"/>
        </w:rPr>
        <w:t>; toliau – pažyma), kurioje nurodytas savivaldybės, į kurios biudžetą buvo įskaitytas sumokėtas mokestis, kodas, tai gyventojas turi nurodyti šį kodą prašymo formos A6 laukelyje. Jeigu gyventojas pažymos neturi, tai šiame laukelyje turi nurodyti savivaldybę, kurioje jis turėjo nuolatinę gyvenamąją vietą arba gyvenamąją vietą praėjusio mokestinio laikotarpio paskutinę dieną, t.y. gruodžio 31 d. Pažymoje nurodoma savivaldybė turi sutapti su savivaldybe, kurią gyventojas nurodė mokestį išskaičiuojančiam asmeniui.“</w:t>
      </w:r>
    </w:p>
    <w:p w14:paraId="338BD995" w14:textId="77777777" w:rsidR="00221A38" w:rsidRDefault="00156166">
      <w:pPr>
        <w:ind w:firstLine="567"/>
        <w:jc w:val="both"/>
        <w:rPr>
          <w:lang w:eastAsia="lt-LT"/>
        </w:rPr>
      </w:pPr>
      <w:r w:rsidR="004B5AFF">
        <w:rPr>
          <w:lang w:eastAsia="lt-LT"/>
        </w:rPr>
        <w:t>1.1.9</w:t>
      </w:r>
      <w:r w:rsidR="004B5AFF">
        <w:rPr>
          <w:lang w:eastAsia="lt-LT"/>
        </w:rPr>
        <w:t>. Išdėstau Taisyklių 22 punktą taip:</w:t>
      </w:r>
    </w:p>
    <w:p w14:paraId="338BD996" w14:textId="77777777" w:rsidR="00221A38" w:rsidRDefault="004B5AFF">
      <w:pPr>
        <w:ind w:firstLine="567"/>
        <w:jc w:val="both"/>
        <w:rPr>
          <w:lang w:eastAsia="lt-LT"/>
        </w:rPr>
      </w:pPr>
      <w:r>
        <w:rPr>
          <w:lang w:eastAsia="lt-LT"/>
        </w:rPr>
        <w:t>„</w:t>
      </w:r>
      <w:r>
        <w:rPr>
          <w:lang w:eastAsia="lt-LT"/>
        </w:rPr>
        <w:t>22</w:t>
      </w:r>
      <w:r>
        <w:rPr>
          <w:lang w:eastAsia="lt-LT"/>
        </w:rPr>
        <w:t>. A8 ir B8 laukeliuose gyventojas turi nurodyti jam priklausančią parduoto ar kitokiu būdu perleisto nuosavybėn daikto vertės dalį procentais (pvz., vienam gyventojui priklauso 20 proc., kitam – 80 proc., arba kiekvienam gyventojui priklauso po 50 proc. ir pan.). Šie laukeliai pildomi tais atvejais, kai prašymo formą teikia du gyventojai, kurie pageidauja, kad kiekvienam iš jų būtų grąžinta perskaičiuoto pajamų mokesčio ir privalomojo sveikatos draudimo įmokų suma. Pagal Lietuvos Respublikos civilinio kodekso nuostatas, bendrasavininkių susitarimu, daiktas gali priklausyti bendrasavininkiams bendrosios jungtinės nuosavybės teise arba bendrosios dalinės nuosavybės teise. Jeigu tokio susitarimo nėra, laikoma, kad bendrasavininkių daikto vertės dalys yra lygios. Kai parduoto ar kitokiu būdu perleisto nuosavybėn daikto savininkas yra vienas gyventojas, tai jis A8 ir B8 laukelių nepildo.“.</w:t>
      </w:r>
    </w:p>
    <w:p w14:paraId="338BD997" w14:textId="77777777" w:rsidR="00221A38" w:rsidRDefault="00156166">
      <w:pPr>
        <w:ind w:firstLine="567"/>
        <w:jc w:val="both"/>
        <w:rPr>
          <w:lang w:eastAsia="lt-LT"/>
        </w:rPr>
      </w:pPr>
      <w:r w:rsidR="004B5AFF">
        <w:rPr>
          <w:lang w:eastAsia="lt-LT"/>
        </w:rPr>
        <w:t>1.1.10</w:t>
      </w:r>
      <w:r w:rsidR="004B5AFF">
        <w:rPr>
          <w:lang w:eastAsia="lt-LT"/>
        </w:rPr>
        <w:t>. Išdėstau Taisyklių 23.2 punktą taip:</w:t>
      </w:r>
    </w:p>
    <w:p w14:paraId="338BD998" w14:textId="77777777" w:rsidR="00221A38" w:rsidRDefault="004B5AFF">
      <w:pPr>
        <w:ind w:firstLine="567"/>
        <w:jc w:val="both"/>
        <w:rPr>
          <w:lang w:eastAsia="lt-LT"/>
        </w:rPr>
      </w:pPr>
      <w:r>
        <w:rPr>
          <w:lang w:eastAsia="lt-LT"/>
        </w:rPr>
        <w:t>„</w:t>
      </w:r>
      <w:r>
        <w:rPr>
          <w:lang w:eastAsia="lt-LT"/>
        </w:rPr>
        <w:t>23.2</w:t>
      </w:r>
      <w:r>
        <w:rPr>
          <w:lang w:eastAsia="lt-LT"/>
        </w:rPr>
        <w:t>. A dalies 3 laukelyje turi būti nurodoma daikto įsigijimo data (pvz., 2001-12-15). Data įrašoma remiantis daikto įsigijimo dokumentais, daikto įregistravimo dokumentais ir pan. Nuolatinis Lietuvos gyventojas gavęs pajamų už ne individualios veiklos nenukirsto miško, apvaliosios medienos, netauriųjų metalų laužo pardavimą arba kitokį perleidimą nuosavybėn šio laukelio nepildo;“.</w:t>
      </w:r>
    </w:p>
    <w:p w14:paraId="338BD999" w14:textId="77777777" w:rsidR="00221A38" w:rsidRDefault="00156166">
      <w:pPr>
        <w:ind w:firstLine="567"/>
        <w:jc w:val="both"/>
        <w:rPr>
          <w:lang w:eastAsia="lt-LT"/>
        </w:rPr>
      </w:pPr>
      <w:r w:rsidR="004B5AFF">
        <w:rPr>
          <w:lang w:eastAsia="lt-LT"/>
        </w:rPr>
        <w:t>1.1.11</w:t>
      </w:r>
      <w:r w:rsidR="004B5AFF">
        <w:rPr>
          <w:lang w:eastAsia="lt-LT"/>
        </w:rPr>
        <w:t>. Papildau Taisykles 23.9 punktu ir jį išdėstau taip:</w:t>
      </w:r>
    </w:p>
    <w:p w14:paraId="338BD99A" w14:textId="77777777" w:rsidR="00221A38" w:rsidRDefault="004B5AFF">
      <w:pPr>
        <w:ind w:firstLine="567"/>
        <w:jc w:val="both"/>
        <w:rPr>
          <w:lang w:eastAsia="lt-LT"/>
        </w:rPr>
      </w:pPr>
      <w:r>
        <w:rPr>
          <w:lang w:eastAsia="lt-LT"/>
        </w:rPr>
        <w:t>„</w:t>
      </w:r>
      <w:r>
        <w:rPr>
          <w:lang w:eastAsia="lt-LT"/>
        </w:rPr>
        <w:t>23.9</w:t>
      </w:r>
      <w:r>
        <w:rPr>
          <w:lang w:eastAsia="lt-LT"/>
        </w:rPr>
        <w:t>. A dalies 13 laukelyje turi būti nurodoma privalomojo sveikatos draudimo įmokų suma litais, kurią pagal SDĮ nuostatas mokestį išskaičiuojantis asmuo išskaičiavo nuo nuolatiniam Lietuvos gyventojui už daiktą išmokėtos sumos. Privalomojo sveikatos draudimo įmokų suma turi būti nurodoma iš gyventojui mokestį išskaičiuojančio asmens (toliau – MIA) išduotos pažymos. Pavyzdžiui, už apvaliąją medieną Lietuvos vienetas (UAB „X“) gyventojui pagal susitarimą turėjo sumokėti 120 000 Lt, buvo išskaičiuota 7200 Lt privalomojo sveikatos draudimo įmokų suma (120 000x6/100). Ši 7200 Lt suma turi būti nurodyta prašymo formos 13 laukelyje.“</w:t>
      </w:r>
    </w:p>
    <w:p w14:paraId="338BD99B" w14:textId="77777777" w:rsidR="00221A38" w:rsidRDefault="00156166">
      <w:pPr>
        <w:ind w:firstLine="567"/>
        <w:jc w:val="both"/>
        <w:rPr>
          <w:lang w:eastAsia="lt-LT"/>
        </w:rPr>
      </w:pPr>
      <w:r w:rsidR="004B5AFF">
        <w:rPr>
          <w:lang w:eastAsia="lt-LT"/>
        </w:rPr>
        <w:t>1.1.12</w:t>
      </w:r>
      <w:r w:rsidR="004B5AFF">
        <w:rPr>
          <w:lang w:eastAsia="lt-LT"/>
        </w:rPr>
        <w:t>. Išdėstau Taisyklių 26 punktą taip:</w:t>
      </w:r>
    </w:p>
    <w:p w14:paraId="338BD99C" w14:textId="77777777" w:rsidR="00221A38" w:rsidRDefault="004B5AFF">
      <w:pPr>
        <w:ind w:firstLine="567"/>
        <w:jc w:val="both"/>
        <w:rPr>
          <w:lang w:eastAsia="lt-LT"/>
        </w:rPr>
      </w:pPr>
      <w:r>
        <w:rPr>
          <w:lang w:eastAsia="lt-LT"/>
        </w:rPr>
        <w:t>„</w:t>
      </w:r>
      <w:r>
        <w:rPr>
          <w:lang w:eastAsia="lt-LT"/>
        </w:rPr>
        <w:t>26</w:t>
      </w:r>
      <w:r>
        <w:rPr>
          <w:lang w:eastAsia="lt-LT"/>
        </w:rPr>
        <w:t>. Prašymo formos C dalies „Pajamų mokesčio ir privalomojo sveikatos draudimo įmokų nuo daikto pardavimo ar kitokio perleidimo nuosavybėn pajamų perskaičiavimas, pajamų mokesčio ir privalomojo sveikatos draudimo įmokų permokos grąžinimas“ pildymas (perskaičiavimą atlieka ir grąžintinos pajamų mokesčio ir privalomojo sveikatos draudimo įmokų permokos sprendimo projektą parengia atitinkamos AVMI valstybės tarnautojas ar darbuotojas:“.</w:t>
      </w:r>
    </w:p>
    <w:p w14:paraId="338BD99D" w14:textId="77777777" w:rsidR="00221A38" w:rsidRDefault="00156166">
      <w:pPr>
        <w:ind w:firstLine="567"/>
        <w:jc w:val="both"/>
        <w:rPr>
          <w:lang w:eastAsia="lt-LT"/>
        </w:rPr>
      </w:pPr>
      <w:r w:rsidR="004B5AFF">
        <w:rPr>
          <w:lang w:eastAsia="lt-LT"/>
        </w:rPr>
        <w:t>1.1.13</w:t>
      </w:r>
      <w:r w:rsidR="004B5AFF">
        <w:rPr>
          <w:lang w:eastAsia="lt-LT"/>
        </w:rPr>
        <w:t>. Papildau Taisykles 26.6 punktu ir jį išdėstau taip:</w:t>
      </w:r>
    </w:p>
    <w:p w14:paraId="338BD99E" w14:textId="77777777" w:rsidR="00221A38" w:rsidRDefault="004B5AFF">
      <w:pPr>
        <w:ind w:firstLine="567"/>
        <w:jc w:val="both"/>
        <w:rPr>
          <w:lang w:eastAsia="lt-LT"/>
        </w:rPr>
      </w:pPr>
      <w:r>
        <w:rPr>
          <w:lang w:eastAsia="lt-LT"/>
        </w:rPr>
        <w:t>„</w:t>
      </w:r>
      <w:r>
        <w:rPr>
          <w:lang w:eastAsia="lt-LT"/>
        </w:rPr>
        <w:t>26.6</w:t>
      </w:r>
      <w:r>
        <w:rPr>
          <w:lang w:eastAsia="lt-LT"/>
        </w:rPr>
        <w:t>. C dalies A14 laukelyje turi būti įrašoma apskaičiuota privalomojo sveikatos draudimo įmokų nuo perskaičiuotų daikto pardavimo ar kitokio perleidimo nuosavybėn pajamų suma (nuo prašymo formos A11 laukelyje nurodytų apmokestinamųjų pajamų sumos apskaičiuojamos deklaruojamą laikotarpį galiojančio mokesčio tarifo privalomojo sveikatos draudimo įmokos);“.</w:t>
      </w:r>
    </w:p>
    <w:p w14:paraId="338BD99F" w14:textId="77777777" w:rsidR="00221A38" w:rsidRDefault="00156166">
      <w:pPr>
        <w:ind w:firstLine="567"/>
        <w:jc w:val="both"/>
        <w:rPr>
          <w:lang w:eastAsia="lt-LT"/>
        </w:rPr>
      </w:pPr>
      <w:r w:rsidR="004B5AFF">
        <w:rPr>
          <w:lang w:eastAsia="lt-LT"/>
        </w:rPr>
        <w:t>1.1.14</w:t>
      </w:r>
      <w:r w:rsidR="004B5AFF">
        <w:rPr>
          <w:lang w:eastAsia="lt-LT"/>
        </w:rPr>
        <w:t>. Papildau Taisykles 26.7 punktu ir jį išdėstau taip:</w:t>
      </w:r>
    </w:p>
    <w:p w14:paraId="338BD9A0" w14:textId="77777777" w:rsidR="00221A38" w:rsidRDefault="004B5AFF">
      <w:pPr>
        <w:ind w:firstLine="567"/>
        <w:jc w:val="both"/>
        <w:rPr>
          <w:lang w:eastAsia="lt-LT"/>
        </w:rPr>
      </w:pPr>
      <w:r>
        <w:rPr>
          <w:lang w:eastAsia="lt-LT"/>
        </w:rPr>
        <w:t>„</w:t>
      </w:r>
      <w:r>
        <w:rPr>
          <w:lang w:eastAsia="lt-LT"/>
        </w:rPr>
        <w:t>26.7</w:t>
      </w:r>
      <w:r>
        <w:rPr>
          <w:lang w:eastAsia="lt-LT"/>
        </w:rPr>
        <w:t>. C dalies A15 laukelyje turi būti įrašomas mokestį išskaičiuojančio asmens išskaičiuotų privalomojo sveikatos draudimo įmokų ir apskaičiuoto privalomojo sveikatos draudimo įmokų nuo perskaičiuotų daikto pardavimo ar kitokio perleidimo nuosavybėn pajamų skirtumas (iš prašymo formos 13 laukelyje nurodytos išskaičiuotos privalomojo sveikatos draudimo įmokų sumos, padaugintos iš prašymo formos A8 laukelyje nurodytos gyventojui priklausančios parduoto daikto vertės dalies atimama A14 laukelyje apskaičiuota privalomojo sveikatos draudimo įmokų suma). Kai perleistas daiktas turėjo tik vieną savininką, iš prašymo formos 13 laukelyje nurodytos sumos atimama A14 laukelyje nurodyta suma;“.</w:t>
      </w:r>
    </w:p>
    <w:p w14:paraId="338BD9A1" w14:textId="77777777" w:rsidR="00221A38" w:rsidRDefault="00156166">
      <w:pPr>
        <w:ind w:firstLine="567"/>
        <w:jc w:val="both"/>
        <w:rPr>
          <w:lang w:eastAsia="lt-LT"/>
        </w:rPr>
      </w:pPr>
      <w:r w:rsidR="004B5AFF">
        <w:rPr>
          <w:lang w:eastAsia="lt-LT"/>
        </w:rPr>
        <w:t>1.1.15</w:t>
      </w:r>
      <w:r w:rsidR="004B5AFF">
        <w:rPr>
          <w:lang w:eastAsia="lt-LT"/>
        </w:rPr>
        <w:t>. Papildau Taisykles 26.8 punktu ir jį išdėstau taip:</w:t>
      </w:r>
    </w:p>
    <w:p w14:paraId="338BD9A2" w14:textId="77777777" w:rsidR="00221A38" w:rsidRDefault="004B5AFF">
      <w:pPr>
        <w:ind w:firstLine="567"/>
        <w:jc w:val="both"/>
        <w:rPr>
          <w:lang w:eastAsia="lt-LT"/>
        </w:rPr>
      </w:pPr>
      <w:r>
        <w:rPr>
          <w:lang w:eastAsia="lt-LT"/>
        </w:rPr>
        <w:t>„</w:t>
      </w:r>
      <w:r>
        <w:rPr>
          <w:lang w:eastAsia="lt-LT"/>
        </w:rPr>
        <w:t>26.8</w:t>
      </w:r>
      <w:r>
        <w:rPr>
          <w:lang w:eastAsia="lt-LT"/>
        </w:rPr>
        <w:t>. Tais atvejais, kai grąžintinos privalomojo sveikatos draudimo įmokos apskaičiuojamos parduoto ar kitokiu būdu perleisto nuosavybėn daikto bendrasavininkiams, kurie atitinkamomis prašymo formos A8 ir B8 laukeliuose nurodytomis daikto vertės dalimis gavo daikto pardavimo arba kitokio perleidimo nuosavybėn pajamų (pvz., sutuoktiniai), turi būti pildomi prašymo formos B14–B15 laukeliai.“</w:t>
      </w:r>
    </w:p>
    <w:p w14:paraId="338BD9A3" w14:textId="77777777" w:rsidR="00221A38" w:rsidRDefault="00156166">
      <w:pPr>
        <w:ind w:firstLine="567"/>
        <w:jc w:val="both"/>
        <w:rPr>
          <w:lang w:eastAsia="lt-LT"/>
        </w:rPr>
      </w:pPr>
      <w:r w:rsidR="004B5AFF">
        <w:rPr>
          <w:lang w:eastAsia="lt-LT"/>
        </w:rPr>
        <w:t>1.1.16</w:t>
      </w:r>
      <w:r w:rsidR="004B5AFF">
        <w:rPr>
          <w:lang w:eastAsia="lt-LT"/>
        </w:rPr>
        <w:t>. Išdėstau Taisyklių 27 punktą taip:</w:t>
      </w:r>
    </w:p>
    <w:p w14:paraId="338BD9A4" w14:textId="77777777" w:rsidR="00221A38" w:rsidRDefault="004B5AFF">
      <w:pPr>
        <w:ind w:firstLine="567"/>
        <w:jc w:val="both"/>
        <w:rPr>
          <w:lang w:eastAsia="lt-LT"/>
        </w:rPr>
      </w:pPr>
      <w:r>
        <w:rPr>
          <w:lang w:eastAsia="lt-LT"/>
        </w:rPr>
        <w:t>„</w:t>
      </w:r>
      <w:r>
        <w:rPr>
          <w:lang w:eastAsia="lt-LT"/>
        </w:rPr>
        <w:t>27</w:t>
      </w:r>
      <w:r>
        <w:rPr>
          <w:lang w:eastAsia="lt-LT"/>
        </w:rPr>
        <w:t>. Pajamų, pajamų mokesčio ir privalomojo sveikatos draudimo įmokų perskaičiavimą atlikęs bei sprendimo grąžinti pajamų mokesčio permoką projektą parengęs AVMI darbuotojas prašymo C dalies pabaigoje (tam skirtoje vietoje) privalo pasirašyti, nurodyti AVMI skyriaus pavadinimą, savo vardą ir pavardę arba uždėti specialų spaudą.“</w:t>
      </w:r>
    </w:p>
    <w:p w14:paraId="338BD9A5" w14:textId="77777777" w:rsidR="00221A38" w:rsidRDefault="00156166">
      <w:pPr>
        <w:ind w:firstLine="567"/>
        <w:jc w:val="both"/>
        <w:rPr>
          <w:lang w:eastAsia="lt-LT"/>
        </w:rPr>
      </w:pPr>
      <w:r w:rsidR="004B5AFF">
        <w:rPr>
          <w:lang w:eastAsia="lt-LT"/>
        </w:rPr>
        <w:t>1.1.17</w:t>
      </w:r>
      <w:r w:rsidR="004B5AFF">
        <w:rPr>
          <w:lang w:eastAsia="lt-LT"/>
        </w:rPr>
        <w:t>. Išdėstau Taisyklių 31 punktą taip:</w:t>
      </w:r>
    </w:p>
    <w:p w14:paraId="338BD9A6" w14:textId="77777777" w:rsidR="00221A38" w:rsidRDefault="004B5AFF">
      <w:pPr>
        <w:ind w:firstLine="567"/>
        <w:jc w:val="both"/>
        <w:rPr>
          <w:lang w:eastAsia="lt-LT"/>
        </w:rPr>
      </w:pPr>
      <w:r>
        <w:rPr>
          <w:lang w:eastAsia="lt-LT"/>
        </w:rPr>
        <w:t>„</w:t>
      </w:r>
      <w:r>
        <w:rPr>
          <w:lang w:eastAsia="lt-LT"/>
        </w:rPr>
        <w:t>31</w:t>
      </w:r>
      <w:r>
        <w:rPr>
          <w:lang w:eastAsia="lt-LT"/>
        </w:rPr>
        <w:t xml:space="preserve">. Po pajamų, pajamų mokesčio ir privalomojo sveikatos draudimo įmokų perskaičiavimo dokumentų originalai turi būti grąžinami gyventojui. Dokumentus grąžinantis AVMI darbuotojas ir gyventojas pasirašo, kad dokumentus pagal aprašą atidavė – atsiėmė. </w:t>
      </w:r>
      <w:r>
        <w:rPr>
          <w:lang w:eastAsia="lt-LT"/>
        </w:rPr>
        <w:lastRenderedPageBreak/>
        <w:t>Tais atvejais, kai dokumentai grąžinami paštu, AVMI darbuotojas pažymi apraše, kad dokumentai išsiųsti paštu, nurodo išsiuntimo datą ir pasirašo.“</w:t>
      </w:r>
    </w:p>
    <w:p w14:paraId="338BD9A7" w14:textId="77777777" w:rsidR="00221A38" w:rsidRDefault="00156166">
      <w:pPr>
        <w:ind w:firstLine="567"/>
        <w:jc w:val="both"/>
        <w:rPr>
          <w:lang w:eastAsia="lt-LT"/>
        </w:rPr>
      </w:pPr>
      <w:r w:rsidR="004B5AFF">
        <w:rPr>
          <w:lang w:eastAsia="lt-LT"/>
        </w:rPr>
        <w:t>1.1.18</w:t>
      </w:r>
      <w:r w:rsidR="004B5AFF">
        <w:rPr>
          <w:lang w:eastAsia="lt-LT"/>
        </w:rPr>
        <w:t>. Išdėstau Taisyklių 34 punktą taip:</w:t>
      </w:r>
    </w:p>
    <w:p w14:paraId="338BD9A8" w14:textId="77777777" w:rsidR="00221A38" w:rsidRDefault="004B5AFF">
      <w:pPr>
        <w:ind w:firstLine="567"/>
        <w:jc w:val="both"/>
        <w:rPr>
          <w:lang w:eastAsia="lt-LT"/>
        </w:rPr>
      </w:pPr>
      <w:r>
        <w:rPr>
          <w:lang w:eastAsia="lt-LT"/>
        </w:rPr>
        <w:t>„</w:t>
      </w:r>
      <w:r>
        <w:rPr>
          <w:lang w:eastAsia="lt-LT"/>
        </w:rPr>
        <w:t>34</w:t>
      </w:r>
      <w:r>
        <w:rPr>
          <w:lang w:eastAsia="lt-LT"/>
        </w:rPr>
        <w:t>. Jeigu nepateikiami GPMĮ 19 straipsnyje nurodyti dokumentai arba jeigu pateiktieji dokumentai neatitinka šiame straipsnyje nustatytų reikalavimų, prašymas nenagrinėjamas, pajamų mokestis ir privalomojo sveikatos draudimo įmokos neperskaičiuojamos. Tokiu atveju gyventojas informuojamas raštu arba telefonu, kad jo prašymas nenagrinėjamas, pajamų mokestis ir privalomojo sveikatos draudimo įmokos nebus perskaičiuojamos, kol jis nepateiks visų reikalingų dokumentų. Apie tai, kad gyventojas informuotas, AVMI darbuotojas antrą gyventojui išsiųsto rašto egzempliorių turi įsegti į šio gyventojo bylą, o jeigu gyventojas buvo informuotas telefonu, AVMI darbuotojas apie tai privalo pažymėti aprašo formos laisvoje vietoje, nurodyti gyventojo informavimo datą. Gyventojui pateikus visus prašymui nagrinėti reikalingus dokumentus, pagal prašymą pajamų mokesčio ir privalomojo sveikatos draudimo įmokų permoka grąžinama MAĮ nustatyta tvarka, t. y. per 30 dienų nuo prašymo nagrinėti priėmimo dienos.“</w:t>
      </w:r>
    </w:p>
    <w:p w14:paraId="338BD9A9" w14:textId="77777777" w:rsidR="00221A38" w:rsidRDefault="00156166">
      <w:pPr>
        <w:ind w:firstLine="567"/>
        <w:jc w:val="both"/>
        <w:rPr>
          <w:lang w:eastAsia="lt-LT"/>
        </w:rPr>
      </w:pPr>
      <w:r w:rsidR="004B5AFF">
        <w:rPr>
          <w:lang w:eastAsia="lt-LT"/>
        </w:rPr>
        <w:t>1.1.19</w:t>
      </w:r>
      <w:r w:rsidR="004B5AFF">
        <w:rPr>
          <w:lang w:eastAsia="lt-LT"/>
        </w:rPr>
        <w:t>. Išdėstau Taisyklių 35 punktą taip:</w:t>
      </w:r>
    </w:p>
    <w:p w14:paraId="338BD9AA" w14:textId="77777777" w:rsidR="00221A38" w:rsidRDefault="004B5AFF">
      <w:pPr>
        <w:ind w:firstLine="567"/>
        <w:jc w:val="both"/>
        <w:rPr>
          <w:lang w:eastAsia="lt-LT"/>
        </w:rPr>
      </w:pPr>
      <w:r>
        <w:rPr>
          <w:lang w:eastAsia="lt-LT"/>
        </w:rPr>
        <w:t>„</w:t>
      </w:r>
      <w:r>
        <w:rPr>
          <w:lang w:eastAsia="lt-LT"/>
        </w:rPr>
        <w:t>35</w:t>
      </w:r>
      <w:r>
        <w:rPr>
          <w:lang w:eastAsia="lt-LT"/>
        </w:rPr>
        <w:t>. Jeigu prašymo nagrinėjimo metu, kai tinkamai užpildyta prašymo forma pateikiama nepasibaigus mokestiniam laikotarpiui, nustatoma, kad gyventojas vykdo prekybos turtu, kuris nurodytas Taisyklių 4 punkte, individualią veiklą arba, iškreipiant ar slepiant tikrąsias aplinkybes, sudaro formalius tokio turto perleidimo sandorius, prašymas nenagrinėjamas. Tokiu atveju prašymo pateikėjas informuojamas raštu, kuriame nurodoma priežastis, dėl kurios prašymas nenagrinėjamas. Mokesčių administratorius turi informuoti gyventoją, kad jis privalo registruoti individualią veiklą, pateikti metinę pajamų mokesčio deklaraciją ir deklaruoti gautas turto pardavimo pajamas kaip individualios veiklos pajamas, arba informuoja gyventoją, kad pradedamas mokestinis patikrinimas, kurio metu bus nagrinėjamas prašymo grąžinti pajamų mokesčio ir privalomojo sveikatos draudimo įmokų permoką pagrįstumas.“</w:t>
      </w:r>
    </w:p>
    <w:p w14:paraId="338BD9AB" w14:textId="77777777" w:rsidR="00221A38" w:rsidRDefault="00156166">
      <w:pPr>
        <w:ind w:firstLine="567"/>
        <w:jc w:val="both"/>
        <w:rPr>
          <w:lang w:eastAsia="lt-LT"/>
        </w:rPr>
      </w:pPr>
      <w:r w:rsidR="004B5AFF">
        <w:rPr>
          <w:lang w:eastAsia="lt-LT"/>
        </w:rPr>
        <w:t>1.1.20</w:t>
      </w:r>
      <w:r w:rsidR="004B5AFF">
        <w:rPr>
          <w:lang w:eastAsia="lt-LT"/>
        </w:rPr>
        <w:t>. Išdėstau Taisyklių 36 punktą taip:</w:t>
      </w:r>
    </w:p>
    <w:p w14:paraId="338BD9AC" w14:textId="77777777" w:rsidR="00221A38" w:rsidRDefault="004B5AFF">
      <w:pPr>
        <w:ind w:firstLine="567"/>
        <w:jc w:val="both"/>
        <w:rPr>
          <w:lang w:eastAsia="lt-LT"/>
        </w:rPr>
      </w:pPr>
      <w:r>
        <w:rPr>
          <w:lang w:eastAsia="lt-LT"/>
        </w:rPr>
        <w:t>„</w:t>
      </w:r>
      <w:r>
        <w:rPr>
          <w:lang w:eastAsia="lt-LT"/>
        </w:rPr>
        <w:t>36</w:t>
      </w:r>
      <w:r>
        <w:rPr>
          <w:lang w:eastAsia="lt-LT"/>
        </w:rPr>
        <w:t>. Gyventojo ir mokesčių administratoriaus ginčai, susiję su šių taisyklių laikymusi, prašymo bei aprašo formų pildymu, pajamų mokesčio ir privalomojo sveikatos draudimo įmokų perskaičiavimu bei grąžinimu sprendžiami Lietuvos Respublikos teisės aktų nustatyta tvarka.“</w:t>
      </w:r>
    </w:p>
    <w:p w14:paraId="338BD9AD" w14:textId="11911456" w:rsidR="00221A38" w:rsidRDefault="00156166">
      <w:pPr>
        <w:ind w:firstLine="567"/>
        <w:jc w:val="both"/>
        <w:rPr>
          <w:lang w:eastAsia="lt-LT"/>
        </w:rPr>
      </w:pPr>
      <w:r w:rsidR="004B5AFF">
        <w:rPr>
          <w:lang w:eastAsia="lt-LT"/>
        </w:rPr>
        <w:t>2</w:t>
      </w:r>
      <w:r w:rsidR="004B5AFF">
        <w:rPr>
          <w:lang w:eastAsia="lt-LT"/>
        </w:rPr>
        <w:t xml:space="preserve">. </w:t>
      </w:r>
      <w:r w:rsidR="004B5AFF">
        <w:rPr>
          <w:spacing w:val="60"/>
          <w:lang w:eastAsia="lt-LT"/>
        </w:rPr>
        <w:t>Išdėstau</w:t>
      </w:r>
      <w:r w:rsidR="004B5AFF">
        <w:rPr>
          <w:lang w:eastAsia="lt-LT"/>
        </w:rPr>
        <w:t xml:space="preserve"> nauja redakcija pridedamą Prašymo perskaičiuoti pajamų mokestį FR0464 formą (versija 03, toliau – FR0464 forma), patvirtintą Valstybinės mokesčių inspekcijos prie Lietuvos Respublikos finansų ministerijos viršininko 2003 m. sausio 24 d. įsakymu Nr. V-21.</w:t>
      </w:r>
    </w:p>
    <w:p w14:paraId="338BD9AE" w14:textId="329BD1DE" w:rsidR="00221A38" w:rsidRDefault="00221A38">
      <w:pPr>
        <w:jc w:val="both"/>
        <w:rPr>
          <w:lang w:eastAsia="lt-LT"/>
        </w:rPr>
      </w:pPr>
    </w:p>
    <w:p w14:paraId="365B6818" w14:textId="77777777" w:rsidR="004B5AFF" w:rsidRDefault="004B5AFF">
      <w:pPr>
        <w:jc w:val="both"/>
        <w:rPr>
          <w:lang w:eastAsia="lt-LT"/>
        </w:rPr>
      </w:pPr>
    </w:p>
    <w:p w14:paraId="338BD9AF" w14:textId="77777777" w:rsidR="00221A38" w:rsidRDefault="00221A38">
      <w:pPr>
        <w:jc w:val="both"/>
        <w:rPr>
          <w:lang w:eastAsia="lt-LT"/>
        </w:rPr>
      </w:pPr>
    </w:p>
    <w:p w14:paraId="338BD9B2" w14:textId="7056CCD8" w:rsidR="00221A38" w:rsidRDefault="004B5AFF" w:rsidP="004B5AFF">
      <w:pPr>
        <w:tabs>
          <w:tab w:val="right" w:pos="9071"/>
        </w:tabs>
        <w:rPr>
          <w:lang w:eastAsia="lt-LT"/>
        </w:rPr>
      </w:pPr>
      <w:r>
        <w:rPr>
          <w:lang w:eastAsia="lt-LT"/>
        </w:rPr>
        <w:t>VIRŠININKAS</w:t>
      </w:r>
      <w:r>
        <w:rPr>
          <w:lang w:eastAsia="lt-LT"/>
        </w:rPr>
        <w:tab/>
        <w:t>MODESTAS KASELIAUSKAS</w:t>
      </w:r>
    </w:p>
    <w:p w14:paraId="338BD9B3" w14:textId="205590B9" w:rsidR="00221A38" w:rsidRDefault="004B5AFF">
      <w:pPr>
        <w:jc w:val="center"/>
        <w:rPr>
          <w:b/>
          <w:vanish/>
          <w:lang w:eastAsia="lt-LT"/>
        </w:rPr>
      </w:pPr>
      <w:r>
        <w:rPr>
          <w:lang w:eastAsia="lt-LT"/>
        </w:rPr>
        <w:br w:type="page"/>
      </w:r>
      <w:r w:rsidRPr="004B5AFF">
        <w:rPr>
          <w:b/>
        </w:rPr>
        <w:t>PRAŠYMAS PERSKAIČIUOTI PAJAMŲ MOKESTĮ, SVEIKATOS DRAUDIMO ĮMOKAS IR GRĄŽINTI PER</w:t>
      </w:r>
      <w:bookmarkStart w:id="0" w:name="_GoBack"/>
      <w:bookmarkEnd w:id="0"/>
      <w:r w:rsidRPr="004B5AFF">
        <w:rPr>
          <w:b/>
        </w:rPr>
        <w:t>MOKĄ</w:t>
      </w:r>
    </w:p>
    <w:p w14:paraId="338BD9B4" w14:textId="3B84925C" w:rsidR="00221A38" w:rsidRDefault="00221A38" w:rsidP="004B5AFF">
      <w:pPr>
        <w:jc w:val="center"/>
        <w:rPr>
          <w:lang w:eastAsia="lt-LT"/>
        </w:rPr>
      </w:pPr>
    </w:p>
    <w:p w14:paraId="338BD9B5" w14:textId="71E3174E" w:rsidR="00221A38" w:rsidRDefault="004B5AFF" w:rsidP="004B5AFF">
      <w:pPr>
        <w:jc w:val="center"/>
        <w:rPr>
          <w:vanish/>
          <w:lang w:eastAsia="lt-LT"/>
        </w:rPr>
      </w:pPr>
      <w:r>
        <w:rPr>
          <w:vanish/>
          <w:lang w:eastAsia="lt-LT"/>
        </w:rPr>
        <w:t>(pav.)</w:t>
      </w:r>
    </w:p>
    <w:p w14:paraId="338BD9B6" w14:textId="77777777" w:rsidR="00221A38" w:rsidRDefault="00221A38">
      <w:pPr>
        <w:rPr>
          <w:lang w:eastAsia="lt-LT"/>
        </w:rPr>
      </w:pPr>
    </w:p>
    <w:p w14:paraId="338BD9B7" w14:textId="77777777" w:rsidR="00221A38" w:rsidRDefault="00221A38">
      <w:pPr>
        <w:sectPr w:rsidR="00221A38">
          <w:pgSz w:w="11907" w:h="16840" w:code="9"/>
          <w:pgMar w:top="1134" w:right="1134" w:bottom="1134" w:left="1701" w:header="709" w:footer="709" w:gutter="0"/>
          <w:cols w:space="708"/>
          <w:docGrid w:linePitch="326"/>
        </w:sectPr>
      </w:pPr>
    </w:p>
    <w:p w14:paraId="338BD9B8" w14:textId="77777777" w:rsidR="00221A38" w:rsidRDefault="00221A38">
      <w:pPr>
        <w:jc w:val="center"/>
      </w:pPr>
    </w:p>
    <w:p w14:paraId="338BD9B9" w14:textId="77777777" w:rsidR="00221A38" w:rsidRDefault="004B5AFF">
      <w:pPr>
        <w:jc w:val="center"/>
      </w:pPr>
      <w:r>
        <w:rPr>
          <w:noProof/>
          <w:lang w:eastAsia="lt-LT"/>
        </w:rPr>
        <w:drawing>
          <wp:inline distT="0" distB="0" distL="0" distR="0" wp14:anchorId="338BD9BD" wp14:editId="338BD9BE">
            <wp:extent cx="8305800" cy="592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05800" cy="5924550"/>
                    </a:xfrm>
                    <a:prstGeom prst="rect">
                      <a:avLst/>
                    </a:prstGeom>
                    <a:noFill/>
                    <a:ln>
                      <a:noFill/>
                    </a:ln>
                  </pic:spPr>
                </pic:pic>
              </a:graphicData>
            </a:graphic>
          </wp:inline>
        </w:drawing>
      </w:r>
    </w:p>
    <w:p w14:paraId="338BD9BA" w14:textId="41A1A927" w:rsidR="00221A38" w:rsidRDefault="004B5AFF">
      <w:pPr>
        <w:jc w:val="center"/>
      </w:pPr>
      <w:r>
        <w:rPr>
          <w:noProof/>
          <w:lang w:eastAsia="lt-LT"/>
        </w:rPr>
        <w:lastRenderedPageBreak/>
        <w:drawing>
          <wp:inline distT="0" distB="0" distL="0" distR="0" wp14:anchorId="338BD9BF" wp14:editId="338BD9C0">
            <wp:extent cx="8229600" cy="584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0" cy="5848350"/>
                    </a:xfrm>
                    <a:prstGeom prst="rect">
                      <a:avLst/>
                    </a:prstGeom>
                    <a:noFill/>
                    <a:ln>
                      <a:noFill/>
                    </a:ln>
                  </pic:spPr>
                </pic:pic>
              </a:graphicData>
            </a:graphic>
          </wp:inline>
        </w:drawing>
      </w:r>
    </w:p>
    <w:p w14:paraId="338BD9BB" w14:textId="24BF42CF" w:rsidR="00221A38" w:rsidRDefault="004B5AFF">
      <w:pPr>
        <w:jc w:val="center"/>
      </w:pPr>
      <w:r>
        <w:t>_________________</w:t>
      </w:r>
    </w:p>
    <w:sectPr w:rsidR="00221A38" w:rsidSect="004B5AFF">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BD9C3" w14:textId="77777777" w:rsidR="00221A38" w:rsidRDefault="004B5AFF">
      <w:r>
        <w:separator/>
      </w:r>
    </w:p>
  </w:endnote>
  <w:endnote w:type="continuationSeparator" w:id="0">
    <w:p w14:paraId="338BD9C4" w14:textId="77777777" w:rsidR="00221A38" w:rsidRDefault="004B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BD9C1" w14:textId="77777777" w:rsidR="00221A38" w:rsidRDefault="004B5AFF">
      <w:r>
        <w:separator/>
      </w:r>
    </w:p>
  </w:footnote>
  <w:footnote w:type="continuationSeparator" w:id="0">
    <w:p w14:paraId="338BD9C2" w14:textId="77777777" w:rsidR="00221A38" w:rsidRDefault="004B5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FE"/>
    <w:rsid w:val="00156166"/>
    <w:rsid w:val="00221A38"/>
    <w:rsid w:val="004B5AFF"/>
    <w:rsid w:val="007439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8B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5A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5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6A43A6EFF7B"/>
  <Relationship Id="rId11" Type="http://schemas.openxmlformats.org/officeDocument/2006/relationships/hyperlink" TargetMode="External" Target="https://www.e-tar.lt/portal/lt/legalAct/TAR.916B8911493A"/>
  <Relationship Id="rId12" Type="http://schemas.openxmlformats.org/officeDocument/2006/relationships/hyperlink" TargetMode="External" Target="https://www.e-tar.lt/portal/lt/legalAct/TAR.C677663D2202"/>
  <Relationship Id="rId13" Type="http://schemas.openxmlformats.org/officeDocument/2006/relationships/hyperlink" TargetMode="External" Target="https://www.e-tar.lt/portal/lt/legalAct/TAR.3BE08993974A"/>
  <Relationship Id="rId14" Type="http://schemas.openxmlformats.org/officeDocument/2006/relationships/hyperlink" TargetMode="External" Target="https://www.e-tar.lt/portal/lt/legalAct/TAR.94F6B680E8B8"/>
  <Relationship Id="rId15" Type="http://schemas.openxmlformats.org/officeDocument/2006/relationships/hyperlink" TargetMode="External" Target="https://www.e-tar.lt/portal/lt/legalAct/TAR.8AC83320B76A"/>
  <Relationship Id="rId16" Type="http://schemas.openxmlformats.org/officeDocument/2006/relationships/hyperlink" TargetMode="External" Target="https://www.e-tar.lt/portal/lt/legalAct/TAR.3EB34933E485"/>
  <Relationship Id="rId17" Type="http://schemas.openxmlformats.org/officeDocument/2006/relationships/hyperlink" TargetMode="External" Target="https://www.e-tar.lt/portal/lt/legalAct/TAR.FDBAB22F6A98"/>
  <Relationship Id="rId18" Type="http://schemas.openxmlformats.org/officeDocument/2006/relationships/hyperlink" TargetMode="External" Target="https://www.e-tar.lt/portal/lt/legalAct/TAR.5B6D11D8018B"/>
  <Relationship Id="rId19" Type="http://schemas.openxmlformats.org/officeDocument/2006/relationships/hyperlink" TargetMode="External" Target="https://www.e-tar.lt/portal/lt/legalAct/TAR.C7F745DFC332"/>
  <Relationship Id="rId2" Type="http://schemas.openxmlformats.org/officeDocument/2006/relationships/styles" Target="styles.xml"/>
  <Relationship Id="rId20" Type="http://schemas.openxmlformats.org/officeDocument/2006/relationships/hyperlink" TargetMode="External" Target="https://www.e-tar.lt/portal/lt/legalAct/TAR.F0F960828C63"/>
  <Relationship Id="rId21" Type="http://schemas.openxmlformats.org/officeDocument/2006/relationships/image" Target="media/image2.jpeg"/>
  <Relationship Id="rId22" Type="http://schemas.openxmlformats.org/officeDocument/2006/relationships/image" Target="media/image3.jpeg"/>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42BF53EA-BC8B-4D90-A1F1-998A6EDF9025}"/>
      </w:docPartPr>
      <w:docPartBody>
        <w:p w14:paraId="579B0F78" w14:textId="77777777" w:rsidR="00AC003B" w:rsidRDefault="00342AA5">
          <w:r w:rsidRPr="000A3E5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A5"/>
    <w:rsid w:val="00342AA5"/>
    <w:rsid w:val="00AC0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79B0F7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2AA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2A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9671</Words>
  <Characters>5514</Characters>
  <Application>Microsoft Office Word</Application>
  <DocSecurity>0</DocSecurity>
  <Lines>45</Lines>
  <Paragraphs>30</Paragraphs>
  <ScaleCrop>false</ScaleCrop>
  <Company>Teisines informacijos centras</Company>
  <LinksUpToDate>false</LinksUpToDate>
  <CharactersWithSpaces>15155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2015-09-24T20:43:00Z</dcterms:created>
  <dc:creator>Sandra</dc:creator>
  <lastModifiedBy>GRUNDAITĖ Aistė</lastModifiedBy>
  <dcterms:modified xsi:type="dcterms:W3CDTF">2016-04-27T05:40:00Z</dcterms:modified>
  <revision>4</revision>
  <dc:title>VALSTYBINĖS MOKESČIŲ INSPEKCIJOS</dc:title>
</coreProperties>
</file>