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D04E" w14:textId="77777777" w:rsidR="0033603B" w:rsidRDefault="002F1E66">
      <w:pPr>
        <w:widowControl w:val="0"/>
        <w:jc w:val="center"/>
        <w:rPr>
          <w:color w:val="000000"/>
        </w:rPr>
      </w:pPr>
      <w:r>
        <w:rPr>
          <w:caps/>
          <w:color w:val="000000"/>
        </w:rPr>
        <w:pict w14:anchorId="64B0D0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>v</w:t>
      </w:r>
      <w:r>
        <w:rPr>
          <w:color w:val="000000"/>
        </w:rPr>
        <w:t>ALSTYBINĖS KAINŲ IR ENERGETIKOS KONTROLĖS KOMISIJOS</w:t>
      </w:r>
    </w:p>
    <w:p w14:paraId="64B0D04F" w14:textId="77777777" w:rsidR="0033603B" w:rsidRDefault="002F1E66">
      <w:pPr>
        <w:widowControl w:val="0"/>
        <w:jc w:val="center"/>
        <w:rPr>
          <w:caps/>
          <w:color w:val="000000"/>
        </w:rPr>
      </w:pPr>
      <w:r>
        <w:rPr>
          <w:caps/>
          <w:color w:val="000000"/>
        </w:rPr>
        <w:t>N U T A R I M A S</w:t>
      </w:r>
    </w:p>
    <w:p w14:paraId="64B0D050" w14:textId="77777777" w:rsidR="0033603B" w:rsidRDefault="0033603B">
      <w:pPr>
        <w:widowControl w:val="0"/>
        <w:jc w:val="center"/>
        <w:rPr>
          <w:b/>
          <w:bCs/>
          <w:caps/>
          <w:color w:val="000000"/>
        </w:rPr>
      </w:pPr>
    </w:p>
    <w:p w14:paraId="64B0D051" w14:textId="77777777" w:rsidR="0033603B" w:rsidRDefault="002F1E66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kainų ir energetikos kontrolės komisijos 2011 m. liepos 8 d. nutarimo Nr. O3-175 „dėl ELEKTROS energijos rinkos kainos NUSTATYMO METO</w:t>
      </w:r>
      <w:r>
        <w:rPr>
          <w:b/>
          <w:bCs/>
          <w:caps/>
          <w:color w:val="000000"/>
        </w:rPr>
        <w:t>DIKOS PATVIRTINIMO“ pakeitimo</w:t>
      </w:r>
    </w:p>
    <w:p w14:paraId="64B0D052" w14:textId="77777777" w:rsidR="0033603B" w:rsidRDefault="0033603B">
      <w:pPr>
        <w:widowControl w:val="0"/>
        <w:jc w:val="center"/>
        <w:rPr>
          <w:b/>
          <w:bCs/>
          <w:caps/>
          <w:color w:val="000000"/>
        </w:rPr>
      </w:pPr>
    </w:p>
    <w:p w14:paraId="64B0D053" w14:textId="77777777" w:rsidR="0033603B" w:rsidRDefault="002F1E66">
      <w:pPr>
        <w:widowControl w:val="0"/>
        <w:jc w:val="center"/>
        <w:rPr>
          <w:color w:val="000000"/>
        </w:rPr>
      </w:pPr>
      <w:r>
        <w:rPr>
          <w:color w:val="000000"/>
        </w:rPr>
        <w:t>2012 m. kovo 19 d. Nr. O3-69</w:t>
      </w:r>
    </w:p>
    <w:p w14:paraId="64B0D054" w14:textId="77777777" w:rsidR="0033603B" w:rsidRDefault="002F1E66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64B0D055" w14:textId="77777777" w:rsidR="0033603B" w:rsidRDefault="0033603B">
      <w:pPr>
        <w:widowControl w:val="0"/>
        <w:ind w:firstLine="567"/>
        <w:jc w:val="both"/>
        <w:rPr>
          <w:color w:val="000000"/>
        </w:rPr>
      </w:pPr>
    </w:p>
    <w:p w14:paraId="64B0D056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Vadovaudamasi Lietuvos Respublikos energetikos įstatymo (Žin., 2002, Nr. </w:t>
      </w:r>
      <w:hyperlink r:id="rId10" w:tgtFrame="_blank" w:history="1">
        <w:r>
          <w:rPr>
            <w:color w:val="0000FF" w:themeColor="hyperlink"/>
            <w:u w:val="single"/>
          </w:rPr>
          <w:t>56-2224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160-7576</w:t>
        </w:r>
      </w:hyperlink>
      <w:r>
        <w:rPr>
          <w:color w:val="000000"/>
        </w:rPr>
        <w:t>) 8 straipsnio 9 dalies 2 punktu bei atsižvelgdama į Elektros ir dujų departamento Elektros skyriaus 2012 m. kovo 7 d. pažymą Nr. O5-43 „Dėl Valstybinės kainų ir energetikos kontrolės k</w:t>
      </w:r>
      <w:r>
        <w:rPr>
          <w:color w:val="000000"/>
        </w:rPr>
        <w:t>omisijos 2011 m. liepos 8 d. nutarimo Nr. O3-175 „Dėl Elektros energijos rinkos kainos nustatymo metodikos patvirtinimo“ pakeitimo“, Valstybinė kainų ir energetikos kontrolės komisija (toliau – Komisija) n u t a r i a :</w:t>
      </w:r>
    </w:p>
    <w:p w14:paraId="64B0D057" w14:textId="77777777" w:rsidR="0033603B" w:rsidRDefault="002F1E66">
      <w:pPr>
        <w:widowControl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>
        <w:rPr>
          <w:color w:val="000000"/>
          <w:spacing w:val="-2"/>
        </w:rPr>
        <w:t>. Pakeisti Elektros energijos r</w:t>
      </w:r>
      <w:r>
        <w:rPr>
          <w:color w:val="000000"/>
          <w:spacing w:val="-2"/>
        </w:rPr>
        <w:t xml:space="preserve">inkos kainos nustatymo metodiką (toliau – Metodika), patvirtintą Komisijos 2011 m. liepos 8 d. nutarimu Nr. O3-175 „Dėl Elektros energijos rinkos kainos nustatymo metodikos patvirtinimo“ (Žin., 2011, Nr. </w:t>
      </w:r>
      <w:hyperlink r:id="rId12" w:tgtFrame="_blank" w:history="1">
        <w:r>
          <w:rPr>
            <w:color w:val="0000FF" w:themeColor="hyperlink"/>
            <w:spacing w:val="-2"/>
            <w:u w:val="single"/>
          </w:rPr>
          <w:t>89-4304</w:t>
        </w:r>
      </w:hyperlink>
      <w:r>
        <w:rPr>
          <w:color w:val="000000"/>
          <w:spacing w:val="-2"/>
        </w:rPr>
        <w:t>):</w:t>
      </w:r>
    </w:p>
    <w:p w14:paraId="64B0D058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išdėstyti Metodikos 3 punktą taip:</w:t>
      </w:r>
    </w:p>
    <w:p w14:paraId="64B0D059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Metodika parengta, vadovaujantis Lietuvos Respublikos energetikos įstatymo (Žin., 2002, Nr. </w:t>
      </w:r>
      <w:hyperlink r:id="rId13" w:tgtFrame="_blank" w:history="1">
        <w:r>
          <w:rPr>
            <w:color w:val="0000FF" w:themeColor="hyperlink"/>
            <w:u w:val="single"/>
          </w:rPr>
          <w:t>56-2224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160-7576</w:t>
        </w:r>
      </w:hyperlink>
      <w:r>
        <w:rPr>
          <w:color w:val="000000"/>
        </w:rPr>
        <w:t xml:space="preserve">) 8 straipsnio 9 dalies 2 punktu, Lietuvos Respublikos atsinaujinančių išteklių energetikos įstatymo (Žin., 2011, Nr. </w:t>
      </w:r>
      <w:hyperlink r:id="rId15" w:tgtFrame="_blank" w:history="1">
        <w:r>
          <w:rPr>
            <w:color w:val="0000FF" w:themeColor="hyperlink"/>
            <w:u w:val="single"/>
          </w:rPr>
          <w:t>62-2936</w:t>
        </w:r>
      </w:hyperlink>
      <w:r>
        <w:rPr>
          <w:color w:val="000000"/>
        </w:rPr>
        <w:t>) 20 straipsnio 2 dalimi, ir atsižvelgiant į Viešuosius interesus atitinkančių paslaugų teikimo tvarkos aprašo, patvirtinto Lietuvos Respublikos energetikos ministro 2009 m</w:t>
      </w:r>
      <w:r>
        <w:rPr>
          <w:color w:val="000000"/>
        </w:rPr>
        <w:t xml:space="preserve">. lapkričio 24 d. įsakymu Nr. 1-215 (Žin., 2009, Nr. </w:t>
      </w:r>
      <w:hyperlink r:id="rId16" w:tgtFrame="_blank" w:history="1">
        <w:r>
          <w:rPr>
            <w:color w:val="0000FF" w:themeColor="hyperlink"/>
            <w:u w:val="single"/>
          </w:rPr>
          <w:t>140-6159</w:t>
        </w:r>
      </w:hyperlink>
      <w:r>
        <w:rPr>
          <w:color w:val="000000"/>
        </w:rPr>
        <w:t xml:space="preserve">; 2010, Nr. </w:t>
      </w:r>
      <w:hyperlink r:id="rId17" w:tgtFrame="_blank" w:history="1">
        <w:r>
          <w:rPr>
            <w:color w:val="0000FF" w:themeColor="hyperlink"/>
            <w:u w:val="single"/>
          </w:rPr>
          <w:t>122-6227</w:t>
        </w:r>
      </w:hyperlink>
      <w:r>
        <w:rPr>
          <w:color w:val="000000"/>
        </w:rPr>
        <w:t xml:space="preserve">; 2011, Nr. </w:t>
      </w:r>
      <w:hyperlink r:id="rId18" w:tgtFrame="_blank" w:history="1">
        <w:r>
          <w:rPr>
            <w:color w:val="0000FF" w:themeColor="hyperlink"/>
            <w:u w:val="single"/>
          </w:rPr>
          <w:t>14-647</w:t>
        </w:r>
      </w:hyperlink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Nr. </w:t>
      </w:r>
      <w:hyperlink r:id="rId19" w:tgtFrame="_blank" w:history="1">
        <w:r>
          <w:rPr>
            <w:color w:val="0000FF" w:themeColor="hyperlink"/>
            <w:u w:val="single"/>
          </w:rPr>
          <w:t>142-6685</w:t>
        </w:r>
      </w:hyperlink>
      <w:r>
        <w:rPr>
          <w:color w:val="000000"/>
        </w:rPr>
        <w:t>), 4 punktą.“;</w:t>
      </w:r>
    </w:p>
    <w:p w14:paraId="64B0D05A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išdėstyti Metodikos 5 punkto paskutinę pastraipą taip:</w:t>
      </w:r>
    </w:p>
    <w:p w14:paraId="64B0D05B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„Kitos Metodikoje vartojamos sąvokos suprantamos taip, kaip jos apibrėžtos Lietuvos Respublikos elektros energetikos įstatyme (Žin., 2000, Nr. </w:t>
      </w:r>
      <w:hyperlink r:id="rId20" w:tgtFrame="_blank" w:history="1">
        <w:r>
          <w:rPr>
            <w:color w:val="0000FF" w:themeColor="hyperlink"/>
            <w:u w:val="single"/>
          </w:rPr>
          <w:t>66-1984</w:t>
        </w:r>
      </w:hyperlink>
      <w:r>
        <w:rPr>
          <w:color w:val="000000"/>
        </w:rPr>
        <w:t xml:space="preserve">; 2004, Nr. </w:t>
      </w:r>
      <w:hyperlink r:id="rId21" w:tgtFrame="_blank" w:history="1">
        <w:r>
          <w:rPr>
            <w:color w:val="0000FF" w:themeColor="hyperlink"/>
            <w:u w:val="single"/>
          </w:rPr>
          <w:t>107-3964</w:t>
        </w:r>
      </w:hyperlink>
      <w:r>
        <w:rPr>
          <w:color w:val="000000"/>
        </w:rPr>
        <w:t xml:space="preserve">; 2012, Nr. </w:t>
      </w:r>
      <w:hyperlink r:id="rId22" w:tgtFrame="_blank" w:history="1">
        <w:r>
          <w:rPr>
            <w:color w:val="0000FF" w:themeColor="hyperlink"/>
            <w:u w:val="single"/>
          </w:rPr>
          <w:t>17-752</w:t>
        </w:r>
      </w:hyperlink>
      <w:r>
        <w:rPr>
          <w:color w:val="000000"/>
        </w:rPr>
        <w:t>), Lietuvos Respublikos atsinaujinančių išteklių energetikos įstatyme.“;</w:t>
      </w:r>
    </w:p>
    <w:p w14:paraId="64B0D05C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</w:t>
      </w:r>
      <w:r>
        <w:rPr>
          <w:color w:val="000000"/>
        </w:rPr>
        <w:t>apildyti nauju 6.1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ir išdėstyti jį taip:</w:t>
      </w:r>
    </w:p>
    <w:p w14:paraId="64B0D05D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6.1</w:t>
      </w:r>
      <w:r>
        <w:rPr>
          <w:color w:val="000000"/>
          <w:vertAlign w:val="superscript"/>
        </w:rPr>
        <w:t>1</w:t>
      </w:r>
      <w:r>
        <w:rPr>
          <w:color w:val="000000"/>
        </w:rPr>
        <w:t>. įvertinusi elektros energijos kainas Biržoje, pagal Biržos kainą neformuojančius pasiūlymus, CET laiku už 12 paskutinių kalendorinių mėnesių, pasibaigusių einamųjų kalendorinių metų rugsėjo 1 d.;“;</w:t>
      </w:r>
    </w:p>
    <w:p w14:paraId="64B0D05E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papildyti nauju 6.4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ir išdėstyti jį taip:</w:t>
      </w:r>
    </w:p>
    <w:p w14:paraId="64B0D05F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6.4</w:t>
      </w:r>
      <w:r>
        <w:rPr>
          <w:color w:val="000000"/>
          <w:vertAlign w:val="superscript"/>
        </w:rPr>
        <w:t>1</w:t>
      </w:r>
      <w:r>
        <w:rPr>
          <w:color w:val="000000"/>
        </w:rPr>
        <w:t>. įvertinusi elektros energijos kiekius, suprekiautus pagal 6.1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papunktyje nurodytas kainas;“;</w:t>
      </w:r>
    </w:p>
    <w:p w14:paraId="64B0D060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įrašyti Metodikos 6.7 punkte po skaičiaus „6.1“ skaičių „6.1</w:t>
      </w:r>
      <w:r>
        <w:rPr>
          <w:color w:val="000000"/>
          <w:vertAlign w:val="superscript"/>
        </w:rPr>
        <w:t xml:space="preserve">1“ </w:t>
      </w:r>
      <w:r>
        <w:rPr>
          <w:color w:val="000000"/>
        </w:rPr>
        <w:t xml:space="preserve">ir po </w:t>
      </w:r>
      <w:r>
        <w:rPr>
          <w:color w:val="000000"/>
        </w:rPr>
        <w:t>skaičiaus „6.4“ skaičių „6.4</w:t>
      </w:r>
      <w:r>
        <w:rPr>
          <w:color w:val="000000"/>
          <w:vertAlign w:val="superscript"/>
        </w:rPr>
        <w:t>1</w:t>
      </w:r>
      <w:r>
        <w:rPr>
          <w:color w:val="000000"/>
        </w:rPr>
        <w:t>“;</w:t>
      </w:r>
    </w:p>
    <w:p w14:paraId="64B0D061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įrašyti Metodikos 7.1 punkte po skaičiaus „6.1“ skaičių „6.1</w:t>
      </w:r>
      <w:r>
        <w:rPr>
          <w:color w:val="000000"/>
          <w:vertAlign w:val="superscript"/>
        </w:rPr>
        <w:t>1“</w:t>
      </w:r>
      <w:r>
        <w:rPr>
          <w:color w:val="000000"/>
        </w:rPr>
        <w:t>;</w:t>
      </w:r>
    </w:p>
    <w:p w14:paraId="64B0D062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išdėstyti Metodikos 9 punktą taip:</w:t>
      </w:r>
    </w:p>
    <w:p w14:paraId="64B0D063" w14:textId="77777777" w:rsidR="0033603B" w:rsidRDefault="002F1E66">
      <w:pPr>
        <w:widowControl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9</w:t>
      </w:r>
      <w:r>
        <w:rPr>
          <w:color w:val="000000"/>
          <w:spacing w:val="-2"/>
        </w:rPr>
        <w:t>. Komisijos nustatytą elektros energijos rinkos kainą ateinantiems kalendoriniams metams Komisija naudo</w:t>
      </w:r>
      <w:r>
        <w:rPr>
          <w:color w:val="000000"/>
          <w:spacing w:val="-2"/>
        </w:rPr>
        <w:t>ja, nustatydama Viešuosius interesus atitinkančių paslaugų (toliau – VIAP) lėšų metinę sąmatą ateinantiems kalendoriniams metams, vadovaudamasi Viešuosius interesus atitinkančių paslaugų elektros energetikos sektoriuje kainos nustatymo metodika, patvirtint</w:t>
      </w:r>
      <w:r>
        <w:rPr>
          <w:color w:val="000000"/>
          <w:spacing w:val="-2"/>
        </w:rPr>
        <w:t>a Komisijos 2011 m. liepos 7 d. nutarimu Nr. O3-166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(Žin., 2011, Nr. </w:t>
      </w:r>
      <w:hyperlink r:id="rId23" w:tgtFrame="_blank" w:history="1">
        <w:r>
          <w:rPr>
            <w:color w:val="0000FF" w:themeColor="hyperlink"/>
            <w:spacing w:val="-2"/>
            <w:u w:val="single"/>
          </w:rPr>
          <w:t>89-4301</w:t>
        </w:r>
      </w:hyperlink>
      <w:r>
        <w:rPr>
          <w:b/>
          <w:bCs/>
          <w:color w:val="000000"/>
          <w:spacing w:val="-2"/>
        </w:rPr>
        <w:t>)</w:t>
      </w:r>
      <w:r>
        <w:rPr>
          <w:color w:val="000000"/>
          <w:spacing w:val="-2"/>
        </w:rPr>
        <w:t xml:space="preserve">, bei nustatydama elektros energijos įsigijimo kainą, vadovaudamasi Visuomeninių elektros energijos </w:t>
      </w:r>
      <w:r>
        <w:rPr>
          <w:color w:val="000000"/>
          <w:spacing w:val="-2"/>
        </w:rPr>
        <w:t xml:space="preserve">kainų, visuomeninio tiekimo paslaugos kainos ir jos viršutinės ribos nustatymo metodika, patvirtinta Komisijos 2009 m. lapkričio 9 d. nutarimu Nr. O3-199 (Žin., 2009, Nr. </w:t>
      </w:r>
      <w:hyperlink r:id="rId24" w:tgtFrame="_blank" w:history="1">
        <w:r>
          <w:rPr>
            <w:color w:val="0000FF" w:themeColor="hyperlink"/>
            <w:spacing w:val="-2"/>
            <w:u w:val="single"/>
          </w:rPr>
          <w:t>135-59</w:t>
        </w:r>
        <w:r>
          <w:rPr>
            <w:color w:val="0000FF" w:themeColor="hyperlink"/>
            <w:spacing w:val="-2"/>
            <w:u w:val="single"/>
          </w:rPr>
          <w:t>19</w:t>
        </w:r>
      </w:hyperlink>
      <w:r>
        <w:rPr>
          <w:color w:val="000000"/>
          <w:spacing w:val="-2"/>
        </w:rPr>
        <w:t xml:space="preserve">; 2010, Nr. </w:t>
      </w:r>
      <w:hyperlink r:id="rId25" w:tgtFrame="_blank" w:history="1">
        <w:r>
          <w:rPr>
            <w:color w:val="0000FF" w:themeColor="hyperlink"/>
            <w:spacing w:val="-2"/>
            <w:u w:val="single"/>
          </w:rPr>
          <w:t>49-2430</w:t>
        </w:r>
      </w:hyperlink>
      <w:r>
        <w:rPr>
          <w:color w:val="000000"/>
          <w:spacing w:val="-2"/>
        </w:rPr>
        <w:t>).“;</w:t>
      </w:r>
    </w:p>
    <w:p w14:paraId="64B0D064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papildyti nauju 11.1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ir išdėstyti jį taip:</w:t>
      </w:r>
    </w:p>
    <w:p w14:paraId="64B0D065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11.1</w:t>
      </w:r>
      <w:r>
        <w:rPr>
          <w:color w:val="000000"/>
          <w:vertAlign w:val="superscript"/>
        </w:rPr>
        <w:t>1</w:t>
      </w:r>
      <w:r>
        <w:rPr>
          <w:color w:val="000000"/>
        </w:rPr>
        <w:t>. informaciją apie elektros energijos kainas Lietuvos elektros energijos Biržoj</w:t>
      </w:r>
      <w:r>
        <w:rPr>
          <w:color w:val="000000"/>
        </w:rPr>
        <w:t>e, 6.1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papunktyje nurodytu atveju, pagal vidutines dienos kainas;“;</w:t>
      </w:r>
    </w:p>
    <w:p w14:paraId="64B0D066" w14:textId="77777777" w:rsidR="0033603B" w:rsidRDefault="002F1E66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papildyti nauju 14.1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ir išdėstyti jį taip:</w:t>
      </w:r>
    </w:p>
    <w:p w14:paraId="64B0D067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14.1</w:t>
      </w:r>
      <w:r>
        <w:rPr>
          <w:color w:val="000000"/>
          <w:vertAlign w:val="superscript"/>
        </w:rPr>
        <w:t>1</w:t>
      </w:r>
      <w:r>
        <w:rPr>
          <w:color w:val="000000"/>
        </w:rPr>
        <w:t>. įvertinus elektros energijos kainas Biržoje, pagal Biržos kainą neformuojančius pasiūlymus, CET laiku už praėjusį</w:t>
      </w:r>
      <w:r>
        <w:rPr>
          <w:color w:val="000000"/>
        </w:rPr>
        <w:t xml:space="preserve"> kalendorinį mėnesį;“;</w:t>
      </w:r>
    </w:p>
    <w:p w14:paraId="64B0D068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papildyti nauju 14.4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ir išdėstyti jį taip:</w:t>
      </w:r>
    </w:p>
    <w:p w14:paraId="64B0D069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14.4</w:t>
      </w:r>
      <w:r>
        <w:rPr>
          <w:color w:val="000000"/>
          <w:vertAlign w:val="superscript"/>
        </w:rPr>
        <w:t>1</w:t>
      </w:r>
      <w:r>
        <w:rPr>
          <w:color w:val="000000"/>
        </w:rPr>
        <w:t>. įvertinus elektros energijos kiekius, suprekiautus pagal 14.1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papunktyje nurodytas kainas;“;</w:t>
      </w:r>
    </w:p>
    <w:p w14:paraId="64B0D06A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 xml:space="preserve">. įrašyti Metodikos 14.7 punkte po skaičiaus „14.1“ </w:t>
      </w:r>
      <w:r>
        <w:rPr>
          <w:color w:val="000000"/>
        </w:rPr>
        <w:t>skaičių „14.1</w:t>
      </w:r>
      <w:r>
        <w:rPr>
          <w:color w:val="000000"/>
          <w:vertAlign w:val="superscript"/>
        </w:rPr>
        <w:t xml:space="preserve">1“ </w:t>
      </w:r>
      <w:r>
        <w:rPr>
          <w:color w:val="000000"/>
        </w:rPr>
        <w:t>ir po skaičiaus „14.4“ skaičių „14.4</w:t>
      </w:r>
      <w:r>
        <w:rPr>
          <w:color w:val="000000"/>
          <w:vertAlign w:val="superscript"/>
        </w:rPr>
        <w:t>1</w:t>
      </w:r>
      <w:r>
        <w:rPr>
          <w:color w:val="000000"/>
        </w:rPr>
        <w:t>“;</w:t>
      </w:r>
    </w:p>
    <w:p w14:paraId="64B0D06B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>. išbraukti Metodikos 16 punkte po žodžio„Biržos operatoriui“ žodžius „ir Komisijai</w:t>
      </w:r>
      <w:r>
        <w:rPr>
          <w:color w:val="000000"/>
          <w:vertAlign w:val="superscript"/>
        </w:rPr>
        <w:t>“</w:t>
      </w:r>
      <w:r>
        <w:rPr>
          <w:color w:val="000000"/>
        </w:rPr>
        <w:t>;</w:t>
      </w:r>
    </w:p>
    <w:p w14:paraId="64B0D06C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>. įrašyti Metodikos 17 punkte vietoj skaičiaus „8“ skaičių „6</w:t>
      </w:r>
      <w:r>
        <w:rPr>
          <w:color w:val="000000"/>
          <w:vertAlign w:val="superscript"/>
        </w:rPr>
        <w:t>“</w:t>
      </w:r>
      <w:r>
        <w:rPr>
          <w:color w:val="000000"/>
        </w:rPr>
        <w:t>;</w:t>
      </w:r>
    </w:p>
    <w:p w14:paraId="64B0D06D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1.14</w:t>
      </w:r>
      <w:r>
        <w:rPr>
          <w:color w:val="000000"/>
        </w:rPr>
        <w:t>. įrašyti Metodikos 18 pun</w:t>
      </w:r>
      <w:r>
        <w:rPr>
          <w:color w:val="000000"/>
        </w:rPr>
        <w:t>kte vietoj skaičiaus „10“ skaičių „8</w:t>
      </w:r>
      <w:r>
        <w:rPr>
          <w:color w:val="000000"/>
          <w:vertAlign w:val="superscript"/>
        </w:rPr>
        <w:t>“</w:t>
      </w:r>
      <w:r>
        <w:rPr>
          <w:color w:val="000000"/>
        </w:rPr>
        <w:t>;</w:t>
      </w:r>
    </w:p>
    <w:p w14:paraId="64B0D06E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1.15</w:t>
      </w:r>
      <w:r>
        <w:rPr>
          <w:color w:val="000000"/>
        </w:rPr>
        <w:t>. įrašyti Metodikos 19 punkte vietoj skaičiaus „10“ skaičių „8</w:t>
      </w:r>
      <w:r>
        <w:rPr>
          <w:color w:val="000000"/>
          <w:vertAlign w:val="superscript"/>
        </w:rPr>
        <w:t>“</w:t>
      </w:r>
      <w:r>
        <w:rPr>
          <w:color w:val="000000"/>
        </w:rPr>
        <w:t>;</w:t>
      </w:r>
    </w:p>
    <w:p w14:paraId="64B0D06F" w14:textId="77777777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1.16</w:t>
      </w:r>
      <w:r>
        <w:rPr>
          <w:color w:val="000000"/>
        </w:rPr>
        <w:t>. išdėstyti Metodikos 20 punktą taip:</w:t>
      </w:r>
    </w:p>
    <w:p w14:paraId="64B0D072" w14:textId="4FCD4D26" w:rsidR="0033603B" w:rsidRDefault="002F1E6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</w:t>
      </w:r>
      <w:r>
        <w:rPr>
          <w:color w:val="000000"/>
        </w:rPr>
        <w:t>. Komisija turi teisę Lietuvos Respublikos energetikos įstatymo 25 straipsnio 1 dalimi, Lietu</w:t>
      </w:r>
      <w:r>
        <w:rPr>
          <w:color w:val="000000"/>
        </w:rPr>
        <w:t>vos Respublikos elektros energetikos įstatymo 57 straipsnio 2 dalimi ir kitų teisės aktų nustatyta tvarka iš energetikos įmonių ar asmenų, kurių vykdoma veikla, tiesiogiai ar netiesiogiai susijusi su energetikos veikla, bei valstybės institucijų gauti visą</w:t>
      </w:r>
      <w:r>
        <w:rPr>
          <w:color w:val="000000"/>
        </w:rPr>
        <w:t xml:space="preserve"> reikalingą informaciją ir dokumentus, būtinus </w:t>
      </w:r>
      <w:bookmarkStart w:id="0" w:name="_GoBack"/>
      <w:bookmarkEnd w:id="0"/>
      <w:r>
        <w:rPr>
          <w:color w:val="000000"/>
        </w:rPr>
        <w:t>elektros energijos rinkos kainai nustatyti.“</w:t>
      </w:r>
    </w:p>
    <w:p w14:paraId="12158133" w14:textId="33B46520" w:rsidR="002F1E66" w:rsidRDefault="002F1E66">
      <w:pPr>
        <w:widowControl w:val="0"/>
        <w:tabs>
          <w:tab w:val="right" w:pos="9071"/>
        </w:tabs>
      </w:pPr>
    </w:p>
    <w:p w14:paraId="4B1B7C74" w14:textId="77777777" w:rsidR="002F1E66" w:rsidRDefault="002F1E66">
      <w:pPr>
        <w:widowControl w:val="0"/>
        <w:tabs>
          <w:tab w:val="right" w:pos="9071"/>
        </w:tabs>
      </w:pPr>
    </w:p>
    <w:p w14:paraId="64B0D073" w14:textId="5E0A4590" w:rsidR="0033603B" w:rsidRDefault="002F1E66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Komisijos pirmininkė</w:t>
      </w:r>
      <w:r>
        <w:rPr>
          <w:caps/>
          <w:color w:val="000000"/>
        </w:rPr>
        <w:tab/>
        <w:t>Diana Korsakaitė</w:t>
      </w:r>
    </w:p>
    <w:p w14:paraId="64B0D075" w14:textId="290160A0" w:rsidR="0033603B" w:rsidRDefault="002F1E66">
      <w:pPr>
        <w:jc w:val="center"/>
      </w:pPr>
    </w:p>
    <w:sectPr w:rsidR="0033603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D079" w14:textId="77777777" w:rsidR="0033603B" w:rsidRDefault="002F1E66">
      <w:r>
        <w:separator/>
      </w:r>
    </w:p>
  </w:endnote>
  <w:endnote w:type="continuationSeparator" w:id="0">
    <w:p w14:paraId="64B0D07A" w14:textId="77777777" w:rsidR="0033603B" w:rsidRDefault="002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7D" w14:textId="77777777" w:rsidR="0033603B" w:rsidRDefault="0033603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7E" w14:textId="77777777" w:rsidR="0033603B" w:rsidRDefault="0033603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80" w14:textId="77777777" w:rsidR="0033603B" w:rsidRDefault="0033603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D077" w14:textId="77777777" w:rsidR="0033603B" w:rsidRDefault="002F1E66">
      <w:r>
        <w:separator/>
      </w:r>
    </w:p>
  </w:footnote>
  <w:footnote w:type="continuationSeparator" w:id="0">
    <w:p w14:paraId="64B0D078" w14:textId="77777777" w:rsidR="0033603B" w:rsidRDefault="002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7B" w14:textId="77777777" w:rsidR="0033603B" w:rsidRDefault="0033603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7C" w14:textId="77777777" w:rsidR="0033603B" w:rsidRDefault="0033603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D07F" w14:textId="77777777" w:rsidR="0033603B" w:rsidRDefault="0033603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8"/>
    <w:rsid w:val="002F1E66"/>
    <w:rsid w:val="0033603B"/>
    <w:rsid w:val="006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0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1E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1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4235B485568"/>
  <Relationship Id="rId11" Type="http://schemas.openxmlformats.org/officeDocument/2006/relationships/hyperlink" TargetMode="External" Target="https://www.e-tar.lt/portal/lt/legalAct/TAR.C2DAB42D5532"/>
  <Relationship Id="rId12" Type="http://schemas.openxmlformats.org/officeDocument/2006/relationships/hyperlink" TargetMode="External" Target="https://www.e-tar.lt/portal/lt/legalAct/TAR.CBCC91754545"/>
  <Relationship Id="rId13" Type="http://schemas.openxmlformats.org/officeDocument/2006/relationships/hyperlink" TargetMode="External" Target="https://www.e-tar.lt/portal/lt/legalAct/TAR.44235B485568"/>
  <Relationship Id="rId14" Type="http://schemas.openxmlformats.org/officeDocument/2006/relationships/hyperlink" TargetMode="External" Target="https://www.e-tar.lt/portal/lt/legalAct/TAR.C2DAB42D5532"/>
  <Relationship Id="rId15" Type="http://schemas.openxmlformats.org/officeDocument/2006/relationships/hyperlink" TargetMode="External" Target="https://www.e-tar.lt/portal/lt/legalAct/TAR.FC7AB69BE291"/>
  <Relationship Id="rId16" Type="http://schemas.openxmlformats.org/officeDocument/2006/relationships/hyperlink" TargetMode="External" Target="https://www.e-tar.lt/portal/lt/legalAct/TAR.15B23A09D32A"/>
  <Relationship Id="rId17" Type="http://schemas.openxmlformats.org/officeDocument/2006/relationships/hyperlink" TargetMode="External" Target="https://www.e-tar.lt/portal/lt/legalAct/TAR.E784CECFEF6E"/>
  <Relationship Id="rId18" Type="http://schemas.openxmlformats.org/officeDocument/2006/relationships/hyperlink" TargetMode="External" Target="https://www.e-tar.lt/portal/lt/legalAct/TAR.B49D0D66C2AE"/>
  <Relationship Id="rId19" Type="http://schemas.openxmlformats.org/officeDocument/2006/relationships/hyperlink" TargetMode="External" Target="https://www.e-tar.lt/portal/lt/legalAct/TAR.4F8E4CD9E82B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57794B7899F"/>
  <Relationship Id="rId21" Type="http://schemas.openxmlformats.org/officeDocument/2006/relationships/hyperlink" TargetMode="External" Target="https://www.e-tar.lt/portal/lt/legalAct/TAR.79E5440C1CBD"/>
  <Relationship Id="rId22" Type="http://schemas.openxmlformats.org/officeDocument/2006/relationships/hyperlink" TargetMode="External" Target="https://www.e-tar.lt/portal/lt/legalAct/TAR.EC08E3DADC14"/>
  <Relationship Id="rId23" Type="http://schemas.openxmlformats.org/officeDocument/2006/relationships/hyperlink" TargetMode="External" Target="https://www.e-tar.lt/portal/lt/legalAct/TAR.DA4B136F2EF2"/>
  <Relationship Id="rId24" Type="http://schemas.openxmlformats.org/officeDocument/2006/relationships/hyperlink" TargetMode="External" Target="https://www.e-tar.lt/portal/lt/legalAct/TAR.974828B873D2"/>
  <Relationship Id="rId25" Type="http://schemas.openxmlformats.org/officeDocument/2006/relationships/hyperlink" TargetMode="External" Target="https://www.e-tar.lt/portal/lt/legalAct/TAR.51DA6C52ECD9"/>
  <Relationship Id="rId26" Type="http://schemas.openxmlformats.org/officeDocument/2006/relationships/header" Target="header1.xml"/>
  <Relationship Id="rId27" Type="http://schemas.openxmlformats.org/officeDocument/2006/relationships/header" Target="header2.xml"/>
  <Relationship Id="rId28" Type="http://schemas.openxmlformats.org/officeDocument/2006/relationships/footer" Target="footer1.xml"/>
  <Relationship Id="rId29" Type="http://schemas.openxmlformats.org/officeDocument/2006/relationships/footer" Target="footer2.xml"/>
  <Relationship Id="rId3" Type="http://schemas.microsoft.com/office/2007/relationships/stylesWithEffects" Target="stylesWithEffects.xml"/>
  <Relationship Id="rId30" Type="http://schemas.openxmlformats.org/officeDocument/2006/relationships/header" Target="header3.xml"/>
  <Relationship Id="rId31" Type="http://schemas.openxmlformats.org/officeDocument/2006/relationships/footer" Target="footer3.xml"/>
  <Relationship Id="rId32" Type="http://schemas.openxmlformats.org/officeDocument/2006/relationships/fontTable" Target="fontTable.xml"/>
  <Relationship Id="rId33" Type="http://schemas.openxmlformats.org/officeDocument/2006/relationships/glossaryDocument" Target="glossary/document.xml"/>
  <Relationship Id="rId34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1"/>
    <w:rsid w:val="001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70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7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3959</Words>
  <Characters>2258</Characters>
  <Application>Microsoft Office Word</Application>
  <DocSecurity>0</DocSecurity>
  <Lines>18</Lines>
  <Paragraphs>12</Paragraphs>
  <ScaleCrop>false</ScaleCrop>
  <Company>Teisines informacijos centras</Company>
  <LinksUpToDate>false</LinksUpToDate>
  <CharactersWithSpaces>6205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2015-09-30T19:25:00Z</dcterms:created>
  <dc:creator>Kamilija</dc:creator>
  <lastModifiedBy>DRAZDAUSKIENĖ Nijolė</lastModifiedBy>
  <dcterms:modified xsi:type="dcterms:W3CDTF">2016-03-04T07:28:00Z</dcterms:modified>
  <revision>3</revision>
  <dc:title>VALSTYBINĖS KAINŲ IR ENERGETIKOS KONTROLĖS KOMISIJOS</dc:title>
</coreProperties>
</file>