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40ACE" w14:textId="77777777" w:rsidR="00DE1622" w:rsidRDefault="00DB39FB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SVEIKATOS APSAUGOS MINISTRO</w:t>
      </w:r>
    </w:p>
    <w:p w14:paraId="26C40ACF" w14:textId="77777777" w:rsidR="00DE1622" w:rsidRDefault="00DB39FB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26C40AD0" w14:textId="77777777" w:rsidR="00DE1622" w:rsidRDefault="00DE1622">
      <w:pPr>
        <w:widowControl w:val="0"/>
        <w:jc w:val="center"/>
        <w:rPr>
          <w:color w:val="000000"/>
          <w:szCs w:val="24"/>
          <w:lang w:eastAsia="lt-LT"/>
        </w:rPr>
      </w:pPr>
    </w:p>
    <w:p w14:paraId="26C40AD1" w14:textId="77777777" w:rsidR="00DE1622" w:rsidRDefault="00DB39FB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ASMENS SVEIKATOS PRIEŽIŪROS ĮSTAIGOMS SKIRIAMŲ LĖŠŲ PIRMINĖS AMBULATORINĖS ASMENS SVEIKATOS PRIEŽIŪROS PASLAUGŲ IŠLAIDOMS APMOKĖTI PLANAVIMO TVARKOS APRAŠO TVIRTINIMO</w:t>
      </w:r>
    </w:p>
    <w:p w14:paraId="26C40AD2" w14:textId="77777777" w:rsidR="00DE1622" w:rsidRDefault="00DE1622">
      <w:pPr>
        <w:widowControl w:val="0"/>
        <w:jc w:val="center"/>
        <w:rPr>
          <w:color w:val="000000"/>
          <w:szCs w:val="24"/>
          <w:lang w:eastAsia="lt-LT"/>
        </w:rPr>
      </w:pPr>
    </w:p>
    <w:p w14:paraId="26C40AD3" w14:textId="77777777" w:rsidR="00DE1622" w:rsidRDefault="00DB39FB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 rugpjūčio</w:t>
      </w:r>
      <w:r>
        <w:rPr>
          <w:color w:val="000000"/>
          <w:szCs w:val="24"/>
          <w:lang w:eastAsia="lt-LT"/>
        </w:rPr>
        <w:t xml:space="preserve"> 29 d. Nr. V-833</w:t>
      </w:r>
    </w:p>
    <w:p w14:paraId="26C40AD4" w14:textId="77777777" w:rsidR="00DE1622" w:rsidRDefault="00DB39FB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26C40AD5" w14:textId="77777777" w:rsidR="00DE1622" w:rsidRDefault="00DE1622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6C40AD6" w14:textId="77777777" w:rsidR="00DE1622" w:rsidRDefault="00DB39FB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Vadovaudamasis Lietuvos Respublikos sveikatos draudimo įstatymo (Žin., 1996,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55-1287</w:t>
        </w:r>
      </w:hyperlink>
      <w:r>
        <w:rPr>
          <w:color w:val="000000"/>
          <w:szCs w:val="24"/>
          <w:lang w:eastAsia="lt-LT"/>
        </w:rPr>
        <w:t>; 2002, Nr. 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123-5512</w:t>
        </w:r>
      </w:hyperlink>
      <w:r>
        <w:rPr>
          <w:color w:val="000000"/>
          <w:szCs w:val="24"/>
          <w:lang w:eastAsia="lt-LT"/>
        </w:rPr>
        <w:t>) 21 straipsnio 1 dalies 1 punktu ir siekdamas užtikrinti, kad teritorinės ligonių kasos pagal vienodus principus planuotų Privalomojo sveikatos draudimo fondo biudžeto lėšas pirminės ambulatorinės asmens sveikatos priež</w:t>
      </w:r>
      <w:r>
        <w:rPr>
          <w:color w:val="000000"/>
          <w:szCs w:val="24"/>
          <w:lang w:eastAsia="lt-LT"/>
        </w:rPr>
        <w:t>iūros paslaugų išlaidoms apmokėti ir šias lėšas skaidriai paskirstytų asmens sveikatos priežiūros įstaigoms:</w:t>
      </w:r>
    </w:p>
    <w:p w14:paraId="26C40AD7" w14:textId="77777777" w:rsidR="00DE1622" w:rsidRDefault="00DB39FB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T v i r t i n u Asmens sveikatos priežiūros įstaigoms skiriamų lėšų pirminės ambulatorinės asmens sveikatos priežiūros paslaugų išlaidoms ap</w:t>
      </w:r>
      <w:r>
        <w:rPr>
          <w:color w:val="000000"/>
          <w:szCs w:val="24"/>
          <w:lang w:eastAsia="lt-LT"/>
        </w:rPr>
        <w:t>mokėti planavimo tvarkos aprašą (pridedama).</w:t>
      </w:r>
    </w:p>
    <w:p w14:paraId="26C40AD9" w14:textId="7F5DC24E" w:rsidR="00DE1622" w:rsidRDefault="00DB39FB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 a v e d u įsakymo vykdymo kontrolę viceministrui pagal administruojamą sritį.</w:t>
      </w:r>
    </w:p>
    <w:p w14:paraId="4AF4351A" w14:textId="688D7801" w:rsidR="00DB39FB" w:rsidRDefault="00DB39FB">
      <w:pPr>
        <w:widowControl w:val="0"/>
      </w:pPr>
    </w:p>
    <w:p w14:paraId="1EB027D0" w14:textId="77777777" w:rsidR="00DB39FB" w:rsidRDefault="00DB39FB">
      <w:pPr>
        <w:widowControl w:val="0"/>
      </w:pPr>
    </w:p>
    <w:p w14:paraId="66F40CE2" w14:textId="77777777" w:rsidR="00DB39FB" w:rsidRDefault="00DB39FB">
      <w:pPr>
        <w:widowControl w:val="0"/>
      </w:pPr>
    </w:p>
    <w:p w14:paraId="26C40ADA" w14:textId="15A60F93" w:rsidR="00DE1622" w:rsidRDefault="00DB39FB">
      <w:pPr>
        <w:widowControl w:val="0"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 xml:space="preserve">SVEIKATOS APSAUGOS </w:t>
      </w:r>
    </w:p>
    <w:p w14:paraId="26C40ADE" w14:textId="27C340A3" w:rsidR="00DE1622" w:rsidRDefault="00DB39FB" w:rsidP="00DB39FB">
      <w:pPr>
        <w:widowControl w:val="0"/>
        <w:tabs>
          <w:tab w:val="right" w:pos="9071"/>
        </w:tabs>
        <w:rPr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MINISTRAS</w:t>
      </w:r>
      <w:r>
        <w:rPr>
          <w:caps/>
          <w:color w:val="000000"/>
          <w:szCs w:val="24"/>
          <w:lang w:eastAsia="lt-LT"/>
        </w:rPr>
        <w:tab/>
        <w:t xml:space="preserve">VYTENIS POVILAS ANDRIUKAITIS </w:t>
      </w:r>
    </w:p>
    <w:p w14:paraId="6EFFB519" w14:textId="77777777" w:rsidR="00DB39FB" w:rsidRDefault="00DB39FB">
      <w:pPr>
        <w:ind w:left="4535"/>
      </w:pPr>
      <w:r>
        <w:br w:type="page"/>
      </w:r>
    </w:p>
    <w:p w14:paraId="26C40ADF" w14:textId="6D805311" w:rsidR="00DE1622" w:rsidRDefault="00DB39FB">
      <w:pPr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PATVIRTINTA</w:t>
      </w:r>
    </w:p>
    <w:p w14:paraId="26C40AE0" w14:textId="77777777" w:rsidR="00DE1622" w:rsidRDefault="00DB39FB">
      <w:pPr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sv</w:t>
      </w:r>
      <w:r>
        <w:rPr>
          <w:color w:val="000000"/>
          <w:szCs w:val="24"/>
          <w:lang w:eastAsia="lt-LT"/>
        </w:rPr>
        <w:t xml:space="preserve">eikatos apsaugos ministro  </w:t>
      </w:r>
    </w:p>
    <w:p w14:paraId="26C40AE1" w14:textId="77777777" w:rsidR="00DE1622" w:rsidRDefault="00DB39FB">
      <w:pPr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 m. rugpjūčio 29 d. įsakymu  Nr. V-833</w:t>
      </w:r>
    </w:p>
    <w:p w14:paraId="26C40AE2" w14:textId="77777777" w:rsidR="00DE1622" w:rsidRDefault="00DE1622">
      <w:pPr>
        <w:jc w:val="center"/>
        <w:rPr>
          <w:b/>
          <w:szCs w:val="24"/>
          <w:lang w:eastAsia="lt-LT"/>
        </w:rPr>
      </w:pPr>
    </w:p>
    <w:p w14:paraId="26C40AE3" w14:textId="77777777" w:rsidR="00DE1622" w:rsidRDefault="00DB39F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ASMENS SVEIKATOS PRIEŽIŪROS ĮSTAIGOMS SKIRIAMŲ LĖŠŲ PIRMINĖS AMBULATORINĖS ASMENS SVEIKATOS PRIEŽIŪROS PASLAUGŲ IŠLAIDOMS APMOKĖTI PLANAVIMO TVARKOS APRAŠAS</w:t>
      </w:r>
    </w:p>
    <w:p w14:paraId="26C40AE4" w14:textId="77777777" w:rsidR="00DE1622" w:rsidRDefault="00DE1622">
      <w:pPr>
        <w:jc w:val="center"/>
        <w:rPr>
          <w:b/>
          <w:szCs w:val="24"/>
          <w:lang w:eastAsia="lt-LT"/>
        </w:rPr>
      </w:pPr>
    </w:p>
    <w:p w14:paraId="26C40AE5" w14:textId="77777777" w:rsidR="00DE1622" w:rsidRDefault="00DB39F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 xml:space="preserve">BENDROSIOS </w:t>
      </w:r>
      <w:r>
        <w:rPr>
          <w:b/>
          <w:szCs w:val="24"/>
          <w:lang w:eastAsia="lt-LT"/>
        </w:rPr>
        <w:t>NUOSTATOS</w:t>
      </w:r>
    </w:p>
    <w:p w14:paraId="26C40AE6" w14:textId="77777777" w:rsidR="00DE1622" w:rsidRDefault="00DE1622">
      <w:pPr>
        <w:tabs>
          <w:tab w:val="left" w:pos="426"/>
        </w:tabs>
        <w:suppressAutoHyphens/>
        <w:ind w:firstLine="720"/>
        <w:jc w:val="both"/>
        <w:textAlignment w:val="center"/>
        <w:rPr>
          <w:color w:val="000000"/>
          <w:szCs w:val="24"/>
          <w:lang w:eastAsia="lt-LT"/>
        </w:rPr>
      </w:pPr>
    </w:p>
    <w:p w14:paraId="26C40AE7" w14:textId="77777777" w:rsidR="00DE1622" w:rsidRDefault="00DB39FB">
      <w:pPr>
        <w:tabs>
          <w:tab w:val="left" w:pos="426"/>
          <w:tab w:val="left" w:pos="851"/>
        </w:tabs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Asmens sveikatos priežiūros įstaigoms skiriamų lėšų pirminės ambulatorinės asmens sveikatos priežiūros paslaugų išlaidoms apmokėti planavimo tvarkos aprašas (toliau – Aprašas) reglamentuoja metinių lėšų, skiriamų asmens sveikatos </w:t>
      </w:r>
      <w:r>
        <w:rPr>
          <w:color w:val="000000"/>
          <w:szCs w:val="24"/>
          <w:lang w:eastAsia="lt-LT"/>
        </w:rPr>
        <w:t>priežiūros įstaigoms iš Privalomojo sveikatos draudimo fondo (toliau – PSDF) biudžeto už pirminės ambulatorinės asmens sveikatos priežiūros (toliau – PAASP) paslaugas, PAASP skatinamąsias paslaugas ir PAASP gerus darbo rezultatus, planavimo tvarką.</w:t>
      </w:r>
    </w:p>
    <w:p w14:paraId="26C40AE8" w14:textId="77777777" w:rsidR="00DE1622" w:rsidRDefault="00DB39FB">
      <w:pPr>
        <w:tabs>
          <w:tab w:val="left" w:pos="426"/>
          <w:tab w:val="left" w:pos="851"/>
        </w:tabs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Asmens sveikatos priežiūros įstaigoms skiriamas metines lėšas už PAASP paslaugas, PAASP skatinamąsias paslaugas ir PAASP gerus darbo rezultatus planuoja teritorinės ligonių kasos.</w:t>
      </w:r>
    </w:p>
    <w:p w14:paraId="26C40AE9" w14:textId="77777777" w:rsidR="00DE1622" w:rsidRDefault="00DB39FB">
      <w:pPr>
        <w:tabs>
          <w:tab w:val="left" w:pos="426"/>
          <w:tab w:val="left" w:pos="851"/>
        </w:tabs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</w:p>
    <w:p w14:paraId="26C40AEA" w14:textId="77777777" w:rsidR="00DE1622" w:rsidRDefault="00DB39F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</w:t>
      </w:r>
      <w:r>
        <w:rPr>
          <w:b/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>PLANUOJAMOS METINĖS LĖŠŲ SUMOS, SKIRIAMOS UŽ PAASP PASLAUGAS, APS</w:t>
      </w:r>
      <w:r>
        <w:rPr>
          <w:b/>
          <w:szCs w:val="24"/>
          <w:lang w:eastAsia="lt-LT"/>
        </w:rPr>
        <w:t>KAIČIAVIMAS</w:t>
      </w:r>
    </w:p>
    <w:p w14:paraId="26C40AEB" w14:textId="77777777" w:rsidR="00DE1622" w:rsidRDefault="00DE1622">
      <w:pPr>
        <w:jc w:val="center"/>
        <w:rPr>
          <w:b/>
          <w:szCs w:val="24"/>
          <w:lang w:eastAsia="lt-LT"/>
        </w:rPr>
      </w:pPr>
    </w:p>
    <w:p w14:paraId="26C40AEC" w14:textId="77777777" w:rsidR="00DE1622" w:rsidRDefault="00DB39FB">
      <w:pPr>
        <w:tabs>
          <w:tab w:val="left" w:pos="426"/>
          <w:tab w:val="left" w:pos="851"/>
        </w:tabs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Asmens sveikatos priežiūros įstaigai skiriamos metinės lėšos už PASP paslaugas planuojamos pagal gyventojų, prisirašiusių prie jos teisės aktų nustatyta tvarka, skaičių einamųjų metų lapkričio 30 dienos duomenimis.</w:t>
      </w:r>
    </w:p>
    <w:p w14:paraId="26C40AED" w14:textId="77777777" w:rsidR="00DE1622" w:rsidRDefault="00DB39FB">
      <w:pPr>
        <w:tabs>
          <w:tab w:val="left" w:pos="426"/>
          <w:tab w:val="left" w:pos="851"/>
        </w:tabs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Planuojama met</w:t>
      </w:r>
      <w:r>
        <w:rPr>
          <w:color w:val="000000"/>
          <w:szCs w:val="24"/>
          <w:lang w:eastAsia="lt-LT"/>
        </w:rPr>
        <w:t>inė lėšų suma apskaičiuojama pagal formulę:</w:t>
      </w:r>
    </w:p>
    <w:p w14:paraId="26C40AEE" w14:textId="77777777" w:rsidR="00DE1622" w:rsidRDefault="00DE1622">
      <w:pPr>
        <w:suppressAutoHyphens/>
        <w:ind w:firstLine="312"/>
        <w:jc w:val="both"/>
        <w:textAlignment w:val="center"/>
        <w:rPr>
          <w:color w:val="000000"/>
          <w:szCs w:val="24"/>
          <w:lang w:eastAsia="lt-LT"/>
        </w:rPr>
      </w:pPr>
    </w:p>
    <w:p w14:paraId="26C40AEF" w14:textId="77777777" w:rsidR="00DE1622" w:rsidRDefault="00DB39FB">
      <w:pPr>
        <w:suppressAutoHyphens/>
        <w:ind w:firstLine="567"/>
        <w:jc w:val="center"/>
        <w:textAlignment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B</w:t>
      </w:r>
      <w:r>
        <w:rPr>
          <w:b/>
          <w:bCs/>
          <w:color w:val="000000"/>
          <w:szCs w:val="24"/>
          <w:vertAlign w:val="subscript"/>
          <w:lang w:eastAsia="lt-LT"/>
        </w:rPr>
        <w:t>(ASPĮ)1</w:t>
      </w:r>
      <w:r>
        <w:rPr>
          <w:b/>
          <w:bCs/>
          <w:color w:val="000000"/>
          <w:szCs w:val="24"/>
          <w:lang w:eastAsia="lt-LT"/>
        </w:rPr>
        <w:t xml:space="preserve"> = (m</w:t>
      </w:r>
      <w:r>
        <w:rPr>
          <w:b/>
          <w:bCs/>
          <w:color w:val="000000"/>
          <w:szCs w:val="24"/>
          <w:vertAlign w:val="subscript"/>
          <w:lang w:eastAsia="lt-LT"/>
        </w:rPr>
        <w:t>1</w:t>
      </w:r>
      <w:r>
        <w:rPr>
          <w:b/>
          <w:color w:val="000000"/>
          <w:szCs w:val="24"/>
          <w:lang w:eastAsia="lt-LT"/>
        </w:rPr>
        <w:t>*</w:t>
      </w:r>
      <w:r>
        <w:rPr>
          <w:b/>
          <w:bCs/>
          <w:color w:val="000000"/>
          <w:szCs w:val="24"/>
          <w:lang w:eastAsia="lt-LT"/>
        </w:rPr>
        <w:t>k</w:t>
      </w:r>
      <w:r>
        <w:rPr>
          <w:b/>
          <w:bCs/>
          <w:color w:val="000000"/>
          <w:szCs w:val="24"/>
          <w:vertAlign w:val="subscript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>+m</w:t>
      </w:r>
      <w:r>
        <w:rPr>
          <w:b/>
          <w:bCs/>
          <w:color w:val="000000"/>
          <w:szCs w:val="24"/>
          <w:vertAlign w:val="subscript"/>
          <w:lang w:eastAsia="lt-LT"/>
        </w:rPr>
        <w:t>2</w:t>
      </w:r>
      <w:r>
        <w:rPr>
          <w:b/>
          <w:color w:val="000000"/>
          <w:szCs w:val="24"/>
          <w:lang w:eastAsia="lt-LT"/>
        </w:rPr>
        <w:t>*</w:t>
      </w:r>
      <w:r>
        <w:rPr>
          <w:b/>
          <w:bCs/>
          <w:color w:val="000000"/>
          <w:szCs w:val="24"/>
          <w:lang w:eastAsia="lt-LT"/>
        </w:rPr>
        <w:t>k</w:t>
      </w:r>
      <w:r>
        <w:rPr>
          <w:b/>
          <w:bCs/>
          <w:color w:val="000000"/>
          <w:szCs w:val="24"/>
          <w:vertAlign w:val="subscript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>+m</w:t>
      </w:r>
      <w:r>
        <w:rPr>
          <w:b/>
          <w:bCs/>
          <w:color w:val="000000"/>
          <w:szCs w:val="24"/>
          <w:vertAlign w:val="subscript"/>
          <w:lang w:eastAsia="lt-LT"/>
        </w:rPr>
        <w:t>3</w:t>
      </w:r>
      <w:r>
        <w:rPr>
          <w:b/>
          <w:color w:val="000000"/>
          <w:szCs w:val="24"/>
          <w:lang w:eastAsia="lt-LT"/>
        </w:rPr>
        <w:t>*</w:t>
      </w:r>
      <w:r>
        <w:rPr>
          <w:b/>
          <w:bCs/>
          <w:color w:val="000000"/>
          <w:szCs w:val="24"/>
          <w:lang w:eastAsia="lt-LT"/>
        </w:rPr>
        <w:t>k</w:t>
      </w:r>
      <w:r>
        <w:rPr>
          <w:b/>
          <w:bCs/>
          <w:color w:val="000000"/>
          <w:szCs w:val="24"/>
          <w:vertAlign w:val="subscript"/>
          <w:lang w:eastAsia="lt-LT"/>
        </w:rPr>
        <w:t>3</w:t>
      </w:r>
      <w:r>
        <w:rPr>
          <w:b/>
          <w:bCs/>
          <w:color w:val="000000"/>
          <w:szCs w:val="24"/>
          <w:lang w:eastAsia="lt-LT"/>
        </w:rPr>
        <w:t>+m</w:t>
      </w:r>
      <w:r>
        <w:rPr>
          <w:b/>
          <w:bCs/>
          <w:color w:val="000000"/>
          <w:szCs w:val="24"/>
          <w:vertAlign w:val="subscript"/>
          <w:lang w:eastAsia="lt-LT"/>
        </w:rPr>
        <w:t>4</w:t>
      </w:r>
      <w:r>
        <w:rPr>
          <w:b/>
          <w:color w:val="000000"/>
          <w:szCs w:val="24"/>
          <w:lang w:eastAsia="lt-LT"/>
        </w:rPr>
        <w:t>*</w:t>
      </w:r>
      <w:r>
        <w:rPr>
          <w:b/>
          <w:bCs/>
          <w:color w:val="000000"/>
          <w:szCs w:val="24"/>
          <w:lang w:eastAsia="lt-LT"/>
        </w:rPr>
        <w:t>k</w:t>
      </w:r>
      <w:r>
        <w:rPr>
          <w:b/>
          <w:bCs/>
          <w:color w:val="000000"/>
          <w:szCs w:val="24"/>
          <w:vertAlign w:val="subscript"/>
          <w:lang w:eastAsia="lt-LT"/>
        </w:rPr>
        <w:t>4</w:t>
      </w:r>
      <w:r>
        <w:rPr>
          <w:b/>
          <w:bCs/>
          <w:color w:val="000000"/>
          <w:szCs w:val="24"/>
          <w:lang w:eastAsia="lt-LT"/>
        </w:rPr>
        <w:t xml:space="preserve"> + m</w:t>
      </w:r>
      <w:r>
        <w:rPr>
          <w:b/>
          <w:bCs/>
          <w:color w:val="000000"/>
          <w:szCs w:val="24"/>
          <w:vertAlign w:val="subscript"/>
          <w:lang w:eastAsia="lt-LT"/>
        </w:rPr>
        <w:t>5</w:t>
      </w:r>
      <w:r>
        <w:rPr>
          <w:b/>
          <w:color w:val="000000"/>
          <w:szCs w:val="24"/>
          <w:lang w:eastAsia="lt-LT"/>
        </w:rPr>
        <w:t>*</w:t>
      </w:r>
      <w:r>
        <w:rPr>
          <w:b/>
          <w:bCs/>
          <w:color w:val="000000"/>
          <w:szCs w:val="24"/>
          <w:lang w:eastAsia="lt-LT"/>
        </w:rPr>
        <w:t>k</w:t>
      </w:r>
      <w:r>
        <w:rPr>
          <w:b/>
          <w:bCs/>
          <w:color w:val="000000"/>
          <w:szCs w:val="24"/>
          <w:vertAlign w:val="subscript"/>
          <w:lang w:eastAsia="lt-LT"/>
        </w:rPr>
        <w:t>5</w:t>
      </w:r>
      <w:r>
        <w:rPr>
          <w:b/>
          <w:bCs/>
          <w:color w:val="000000"/>
          <w:szCs w:val="24"/>
          <w:lang w:eastAsia="lt-LT"/>
        </w:rPr>
        <w:t xml:space="preserve"> + m</w:t>
      </w:r>
      <w:r>
        <w:rPr>
          <w:b/>
          <w:bCs/>
          <w:color w:val="000000"/>
          <w:szCs w:val="24"/>
          <w:vertAlign w:val="subscript"/>
          <w:lang w:eastAsia="lt-LT"/>
        </w:rPr>
        <w:t>6</w:t>
      </w:r>
      <w:r>
        <w:rPr>
          <w:b/>
          <w:color w:val="000000"/>
          <w:szCs w:val="24"/>
          <w:lang w:eastAsia="lt-LT"/>
        </w:rPr>
        <w:t>*</w:t>
      </w:r>
      <w:r>
        <w:rPr>
          <w:b/>
          <w:bCs/>
          <w:color w:val="000000"/>
          <w:szCs w:val="24"/>
          <w:lang w:eastAsia="lt-LT"/>
        </w:rPr>
        <w:t>k</w:t>
      </w:r>
      <w:r>
        <w:rPr>
          <w:b/>
          <w:bCs/>
          <w:color w:val="000000"/>
          <w:szCs w:val="24"/>
          <w:vertAlign w:val="subscript"/>
          <w:lang w:eastAsia="lt-LT"/>
        </w:rPr>
        <w:t>6</w:t>
      </w:r>
      <w:r>
        <w:rPr>
          <w:b/>
          <w:bCs/>
          <w:color w:val="000000"/>
          <w:szCs w:val="24"/>
          <w:lang w:eastAsia="lt-LT"/>
        </w:rPr>
        <w:t xml:space="preserve"> + m</w:t>
      </w:r>
      <w:r>
        <w:rPr>
          <w:b/>
          <w:bCs/>
          <w:color w:val="000000"/>
          <w:szCs w:val="24"/>
          <w:vertAlign w:val="subscript"/>
          <w:lang w:eastAsia="lt-LT"/>
        </w:rPr>
        <w:t>7</w:t>
      </w:r>
      <w:r>
        <w:rPr>
          <w:b/>
          <w:color w:val="000000"/>
          <w:szCs w:val="24"/>
          <w:lang w:eastAsia="lt-LT"/>
        </w:rPr>
        <w:t>*</w:t>
      </w:r>
      <w:r>
        <w:rPr>
          <w:b/>
          <w:bCs/>
          <w:color w:val="000000"/>
          <w:szCs w:val="24"/>
          <w:lang w:eastAsia="lt-LT"/>
        </w:rPr>
        <w:t>k</w:t>
      </w:r>
      <w:r>
        <w:rPr>
          <w:b/>
          <w:bCs/>
          <w:color w:val="000000"/>
          <w:szCs w:val="24"/>
          <w:vertAlign w:val="subscript"/>
          <w:lang w:eastAsia="lt-LT"/>
        </w:rPr>
        <w:t>7</w:t>
      </w:r>
      <w:r>
        <w:rPr>
          <w:b/>
          <w:bCs/>
          <w:color w:val="000000"/>
          <w:szCs w:val="24"/>
          <w:lang w:eastAsia="lt-LT"/>
        </w:rPr>
        <w:t>)</w:t>
      </w:r>
      <w:r>
        <w:rPr>
          <w:b/>
          <w:color w:val="000000"/>
          <w:szCs w:val="24"/>
          <w:lang w:eastAsia="lt-LT"/>
        </w:rPr>
        <w:t>*</w:t>
      </w:r>
      <w:r>
        <w:rPr>
          <w:b/>
          <w:bCs/>
          <w:color w:val="000000"/>
          <w:szCs w:val="24"/>
          <w:lang w:eastAsia="lt-LT"/>
        </w:rPr>
        <w:t>n</w:t>
      </w:r>
      <w:r>
        <w:rPr>
          <w:b/>
          <w:bCs/>
          <w:color w:val="000000"/>
          <w:szCs w:val="24"/>
          <w:vertAlign w:val="subscript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+(m</w:t>
      </w:r>
      <w:r>
        <w:rPr>
          <w:b/>
          <w:bCs/>
          <w:color w:val="000000"/>
          <w:szCs w:val="24"/>
          <w:vertAlign w:val="subscript"/>
          <w:lang w:eastAsia="lt-LT"/>
        </w:rPr>
        <w:t>8</w:t>
      </w:r>
      <w:r>
        <w:rPr>
          <w:b/>
          <w:color w:val="000000"/>
          <w:szCs w:val="24"/>
          <w:lang w:eastAsia="lt-LT"/>
        </w:rPr>
        <w:t>*</w:t>
      </w:r>
      <w:r>
        <w:rPr>
          <w:b/>
          <w:bCs/>
          <w:color w:val="000000"/>
          <w:szCs w:val="24"/>
          <w:lang w:eastAsia="lt-LT"/>
        </w:rPr>
        <w:t>k</w:t>
      </w:r>
      <w:r>
        <w:rPr>
          <w:b/>
          <w:bCs/>
          <w:color w:val="000000"/>
          <w:szCs w:val="24"/>
          <w:vertAlign w:val="subscript"/>
          <w:lang w:eastAsia="lt-LT"/>
        </w:rPr>
        <w:t>8</w:t>
      </w:r>
      <w:r>
        <w:rPr>
          <w:b/>
          <w:bCs/>
          <w:color w:val="000000"/>
          <w:szCs w:val="24"/>
          <w:lang w:eastAsia="lt-LT"/>
        </w:rPr>
        <w:t>)</w:t>
      </w:r>
      <w:r>
        <w:rPr>
          <w:b/>
          <w:color w:val="000000"/>
          <w:szCs w:val="24"/>
          <w:lang w:eastAsia="lt-LT"/>
        </w:rPr>
        <w:t>*</w:t>
      </w:r>
      <w:r>
        <w:rPr>
          <w:b/>
          <w:bCs/>
          <w:color w:val="000000"/>
          <w:szCs w:val="24"/>
          <w:lang w:eastAsia="lt-LT"/>
        </w:rPr>
        <w:t>n</w:t>
      </w:r>
      <w:r>
        <w:rPr>
          <w:b/>
          <w:bCs/>
          <w:color w:val="000000"/>
          <w:szCs w:val="24"/>
          <w:vertAlign w:val="subscript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>+(m</w:t>
      </w:r>
      <w:r>
        <w:rPr>
          <w:b/>
          <w:bCs/>
          <w:color w:val="000000"/>
          <w:szCs w:val="24"/>
          <w:vertAlign w:val="subscript"/>
          <w:lang w:eastAsia="lt-LT"/>
        </w:rPr>
        <w:t>9</w:t>
      </w:r>
      <w:r>
        <w:rPr>
          <w:b/>
          <w:color w:val="000000"/>
          <w:szCs w:val="24"/>
          <w:lang w:eastAsia="lt-LT"/>
        </w:rPr>
        <w:t>*</w:t>
      </w:r>
      <w:r>
        <w:rPr>
          <w:b/>
          <w:bCs/>
          <w:color w:val="000000"/>
          <w:szCs w:val="24"/>
          <w:lang w:eastAsia="lt-LT"/>
        </w:rPr>
        <w:t>k</w:t>
      </w:r>
      <w:r>
        <w:rPr>
          <w:b/>
          <w:bCs/>
          <w:color w:val="000000"/>
          <w:szCs w:val="24"/>
          <w:vertAlign w:val="subscript"/>
          <w:lang w:eastAsia="lt-LT"/>
        </w:rPr>
        <w:t>9</w:t>
      </w:r>
      <w:r>
        <w:rPr>
          <w:b/>
          <w:bCs/>
          <w:color w:val="000000"/>
          <w:szCs w:val="24"/>
          <w:lang w:eastAsia="lt-LT"/>
        </w:rPr>
        <w:t>)</w:t>
      </w:r>
      <w:r>
        <w:rPr>
          <w:b/>
          <w:color w:val="000000"/>
          <w:szCs w:val="24"/>
          <w:lang w:eastAsia="lt-LT"/>
        </w:rPr>
        <w:t>*</w:t>
      </w:r>
      <w:r>
        <w:rPr>
          <w:b/>
          <w:bCs/>
          <w:color w:val="000000"/>
          <w:szCs w:val="24"/>
          <w:lang w:eastAsia="lt-LT"/>
        </w:rPr>
        <w:t>n</w:t>
      </w:r>
      <w:r>
        <w:rPr>
          <w:b/>
          <w:bCs/>
          <w:color w:val="000000"/>
          <w:szCs w:val="24"/>
          <w:vertAlign w:val="subscript"/>
          <w:lang w:eastAsia="lt-LT"/>
        </w:rPr>
        <w:t>3</w:t>
      </w:r>
      <w:r>
        <w:rPr>
          <w:bCs/>
          <w:color w:val="000000"/>
          <w:szCs w:val="24"/>
          <w:lang w:eastAsia="lt-LT"/>
        </w:rPr>
        <w:t>,</w:t>
      </w:r>
    </w:p>
    <w:p w14:paraId="26C40AF0" w14:textId="77777777" w:rsidR="00DE1622" w:rsidRDefault="00DE1622">
      <w:pPr>
        <w:suppressAutoHyphens/>
        <w:ind w:firstLine="312"/>
        <w:jc w:val="both"/>
        <w:textAlignment w:val="center"/>
        <w:rPr>
          <w:color w:val="000000"/>
          <w:szCs w:val="24"/>
          <w:lang w:eastAsia="lt-LT"/>
        </w:rPr>
      </w:pPr>
    </w:p>
    <w:p w14:paraId="26C40AF1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kai:</w:t>
      </w:r>
    </w:p>
    <w:p w14:paraId="26C40AF2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B</w:t>
      </w:r>
      <w:r>
        <w:rPr>
          <w:b/>
          <w:bCs/>
          <w:color w:val="000000"/>
          <w:szCs w:val="24"/>
          <w:vertAlign w:val="subscript"/>
          <w:lang w:eastAsia="lt-LT"/>
        </w:rPr>
        <w:t>(</w:t>
      </w:r>
      <w:r>
        <w:rPr>
          <w:color w:val="000000"/>
          <w:szCs w:val="24"/>
          <w:vertAlign w:val="subscript"/>
          <w:lang w:eastAsia="lt-LT"/>
        </w:rPr>
        <w:t>ASPĮ)1</w:t>
      </w:r>
      <w:r>
        <w:rPr>
          <w:color w:val="000000"/>
          <w:szCs w:val="24"/>
          <w:lang w:eastAsia="lt-LT"/>
        </w:rPr>
        <w:t xml:space="preserve"> – planuojama metinė lėšų suma asmens sveikatos priežiūros įstaigos PAASP paslaugų išlaidoms apmokėti (litais);</w:t>
      </w:r>
    </w:p>
    <w:p w14:paraId="26C40AF3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m</w:t>
      </w:r>
      <w:r>
        <w:rPr>
          <w:color w:val="000000"/>
          <w:szCs w:val="24"/>
          <w:vertAlign w:val="sub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– prisirašiusių prie asmens sveikatos priežiūros įstaigos gyventojų (iki 1 metų) skaičius;</w:t>
      </w:r>
    </w:p>
    <w:p w14:paraId="26C40AF4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</w:t>
      </w:r>
      <w:r>
        <w:rPr>
          <w:color w:val="000000"/>
          <w:szCs w:val="24"/>
          <w:vertAlign w:val="sub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– vieno gyventojo (iki 1 metų) PAASP paslaugų m</w:t>
      </w:r>
      <w:r>
        <w:rPr>
          <w:color w:val="000000"/>
          <w:szCs w:val="24"/>
          <w:lang w:eastAsia="lt-LT"/>
        </w:rPr>
        <w:t>etinė bazinė kaina (balais);</w:t>
      </w:r>
    </w:p>
    <w:p w14:paraId="26C40AF5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m</w:t>
      </w:r>
      <w:r>
        <w:rPr>
          <w:color w:val="000000"/>
          <w:szCs w:val="24"/>
          <w:vertAlign w:val="subscript"/>
          <w:lang w:eastAsia="lt-LT"/>
        </w:rPr>
        <w:t>2</w:t>
      </w:r>
      <w:r>
        <w:rPr>
          <w:color w:val="000000"/>
          <w:szCs w:val="24"/>
          <w:lang w:eastAsia="lt-LT"/>
        </w:rPr>
        <w:t xml:space="preserve"> – prisirašiusių prie asmens sveikatos priežiūros įstaigos gyventojų (nuo 1 iki 4 metų imtinai) skaičius;</w:t>
      </w:r>
    </w:p>
    <w:p w14:paraId="26C40AF6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</w:t>
      </w:r>
      <w:r>
        <w:rPr>
          <w:color w:val="000000"/>
          <w:szCs w:val="24"/>
          <w:vertAlign w:val="subscript"/>
          <w:lang w:eastAsia="lt-LT"/>
        </w:rPr>
        <w:t>2</w:t>
      </w:r>
      <w:r>
        <w:rPr>
          <w:color w:val="000000"/>
          <w:szCs w:val="24"/>
          <w:lang w:eastAsia="lt-LT"/>
        </w:rPr>
        <w:t xml:space="preserve"> – vieno gyventojo (nuo 1 iki 4 metų imtinai) PAASP paslaugų metinė bazinė kaina (balais);</w:t>
      </w:r>
    </w:p>
    <w:p w14:paraId="26C40AF7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m</w:t>
      </w:r>
      <w:r>
        <w:rPr>
          <w:color w:val="000000"/>
          <w:szCs w:val="24"/>
          <w:vertAlign w:val="subscript"/>
          <w:lang w:eastAsia="lt-LT"/>
        </w:rPr>
        <w:t>3</w:t>
      </w:r>
      <w:r>
        <w:rPr>
          <w:color w:val="000000"/>
          <w:szCs w:val="24"/>
          <w:lang w:eastAsia="lt-LT"/>
        </w:rPr>
        <w:t xml:space="preserve"> – prisirašiusių prie as</w:t>
      </w:r>
      <w:r>
        <w:rPr>
          <w:color w:val="000000"/>
          <w:szCs w:val="24"/>
          <w:lang w:eastAsia="lt-LT"/>
        </w:rPr>
        <w:t>mens sveikatos priežiūros įstaigos gyventojų (nuo 5 iki 6 metų imtinai) skaičius;</w:t>
      </w:r>
    </w:p>
    <w:p w14:paraId="26C40AF8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</w:t>
      </w:r>
      <w:r>
        <w:rPr>
          <w:color w:val="000000"/>
          <w:szCs w:val="24"/>
          <w:vertAlign w:val="subscript"/>
          <w:lang w:eastAsia="lt-LT"/>
        </w:rPr>
        <w:t>3</w:t>
      </w:r>
      <w:r>
        <w:rPr>
          <w:color w:val="000000"/>
          <w:szCs w:val="24"/>
          <w:lang w:eastAsia="lt-LT"/>
        </w:rPr>
        <w:t xml:space="preserve"> – vieno gyventojo (nuo 5 iki 6 metų imtinai) PAASP paslaugų metinė bazinė kaina (balais);</w:t>
      </w:r>
    </w:p>
    <w:p w14:paraId="26C40AF9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m</w:t>
      </w:r>
      <w:r>
        <w:rPr>
          <w:color w:val="000000"/>
          <w:szCs w:val="24"/>
          <w:vertAlign w:val="subscript"/>
          <w:lang w:eastAsia="lt-LT"/>
        </w:rPr>
        <w:t>4</w:t>
      </w:r>
      <w:r>
        <w:rPr>
          <w:color w:val="000000"/>
          <w:szCs w:val="24"/>
          <w:lang w:eastAsia="lt-LT"/>
        </w:rPr>
        <w:t xml:space="preserve"> – prisirašiusių prie asmens sveikatos priežiūros įstaigos gyventojų (nuo 7 iki 17 metų imtinai) skaičius;</w:t>
      </w:r>
    </w:p>
    <w:p w14:paraId="26C40AFA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</w:t>
      </w:r>
      <w:r>
        <w:rPr>
          <w:color w:val="000000"/>
          <w:szCs w:val="24"/>
          <w:vertAlign w:val="subscript"/>
          <w:lang w:eastAsia="lt-LT"/>
        </w:rPr>
        <w:t>4</w:t>
      </w:r>
      <w:r>
        <w:rPr>
          <w:color w:val="000000"/>
          <w:szCs w:val="24"/>
          <w:lang w:eastAsia="lt-LT"/>
        </w:rPr>
        <w:t xml:space="preserve"> – vieno gyventojo (nuo 7 iki 17 metų imtinai) PAASP paslaugų metinė bazinė kaina (balais);</w:t>
      </w:r>
    </w:p>
    <w:p w14:paraId="26C40AFB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m</w:t>
      </w:r>
      <w:r>
        <w:rPr>
          <w:color w:val="000000"/>
          <w:szCs w:val="24"/>
          <w:vertAlign w:val="subscript"/>
          <w:lang w:eastAsia="lt-LT"/>
        </w:rPr>
        <w:t xml:space="preserve">5 </w:t>
      </w:r>
      <w:r>
        <w:rPr>
          <w:color w:val="000000"/>
          <w:szCs w:val="24"/>
          <w:lang w:eastAsia="lt-LT"/>
        </w:rPr>
        <w:t xml:space="preserve">– prisirašiusių prie asmens sveikatos priežiūros </w:t>
      </w:r>
      <w:r>
        <w:rPr>
          <w:color w:val="000000"/>
          <w:szCs w:val="24"/>
          <w:lang w:eastAsia="lt-LT"/>
        </w:rPr>
        <w:t>įstaigos gyventojų (nuo 18 iki 49 metų imtinai) skaičius;</w:t>
      </w:r>
    </w:p>
    <w:p w14:paraId="26C40AFC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k</w:t>
      </w:r>
      <w:r>
        <w:rPr>
          <w:color w:val="000000"/>
          <w:szCs w:val="24"/>
          <w:vertAlign w:val="subscript"/>
          <w:lang w:eastAsia="lt-LT"/>
        </w:rPr>
        <w:t>5</w:t>
      </w:r>
      <w:r>
        <w:rPr>
          <w:color w:val="000000"/>
          <w:szCs w:val="24"/>
          <w:lang w:eastAsia="lt-LT"/>
        </w:rPr>
        <w:t xml:space="preserve"> – vieno gyventojo (nuo 18 iki 49 metų imtinai) PAASP paslaugų metinė bazinė kaina (balais);</w:t>
      </w:r>
    </w:p>
    <w:p w14:paraId="26C40AFD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m</w:t>
      </w:r>
      <w:r>
        <w:rPr>
          <w:color w:val="000000"/>
          <w:szCs w:val="24"/>
          <w:vertAlign w:val="subscript"/>
          <w:lang w:eastAsia="lt-LT"/>
        </w:rPr>
        <w:t>6</w:t>
      </w:r>
      <w:r>
        <w:rPr>
          <w:color w:val="000000"/>
          <w:szCs w:val="24"/>
          <w:lang w:eastAsia="lt-LT"/>
        </w:rPr>
        <w:t xml:space="preserve"> – prisirašiusių prie asmens sveikatos priežiūros įstaigos gyventojų (nuo 50 iki 65 metų imtinai) ska</w:t>
      </w:r>
      <w:r>
        <w:rPr>
          <w:color w:val="000000"/>
          <w:szCs w:val="24"/>
          <w:lang w:eastAsia="lt-LT"/>
        </w:rPr>
        <w:t>ičius;</w:t>
      </w:r>
    </w:p>
    <w:p w14:paraId="26C40AFE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</w:t>
      </w:r>
      <w:r>
        <w:rPr>
          <w:color w:val="000000"/>
          <w:szCs w:val="24"/>
          <w:vertAlign w:val="subscript"/>
          <w:lang w:eastAsia="lt-LT"/>
        </w:rPr>
        <w:t>6</w:t>
      </w:r>
      <w:r>
        <w:rPr>
          <w:color w:val="000000"/>
          <w:szCs w:val="24"/>
          <w:lang w:eastAsia="lt-LT"/>
        </w:rPr>
        <w:t xml:space="preserve"> – vieno gyventojo (nuo 50 iki 65 metų imtinai) PAASP paslaugų metinė bazinė kaina (balais);</w:t>
      </w:r>
    </w:p>
    <w:p w14:paraId="26C40AFF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m</w:t>
      </w:r>
      <w:r>
        <w:rPr>
          <w:color w:val="000000"/>
          <w:szCs w:val="24"/>
          <w:vertAlign w:val="subscript"/>
          <w:lang w:eastAsia="lt-LT"/>
        </w:rPr>
        <w:t>7</w:t>
      </w:r>
      <w:r>
        <w:rPr>
          <w:color w:val="000000"/>
          <w:szCs w:val="24"/>
          <w:lang w:eastAsia="lt-LT"/>
        </w:rPr>
        <w:t xml:space="preserve"> – prisirašiusių prie asmens sveikatos priežiūros įstaigos gyventojų (vyresnių kaip 65 metų) skaičius;</w:t>
      </w:r>
    </w:p>
    <w:p w14:paraId="26C40B00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</w:t>
      </w:r>
      <w:r>
        <w:rPr>
          <w:color w:val="000000"/>
          <w:szCs w:val="24"/>
          <w:vertAlign w:val="subscript"/>
          <w:lang w:eastAsia="lt-LT"/>
        </w:rPr>
        <w:t>7</w:t>
      </w:r>
      <w:r>
        <w:rPr>
          <w:color w:val="000000"/>
          <w:szCs w:val="24"/>
          <w:lang w:eastAsia="lt-LT"/>
        </w:rPr>
        <w:t xml:space="preserve"> – vieno gyventojo (vyresnio kaip 65 metų) PAAS</w:t>
      </w:r>
      <w:r>
        <w:rPr>
          <w:color w:val="000000"/>
          <w:szCs w:val="24"/>
          <w:lang w:eastAsia="lt-LT"/>
        </w:rPr>
        <w:t>P paslaugų metinė bazinė kaina (balais);</w:t>
      </w:r>
    </w:p>
    <w:p w14:paraId="26C40B01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m</w:t>
      </w:r>
      <w:r>
        <w:rPr>
          <w:color w:val="000000"/>
          <w:szCs w:val="24"/>
          <w:vertAlign w:val="subscript"/>
          <w:lang w:eastAsia="lt-LT"/>
        </w:rPr>
        <w:t>8</w:t>
      </w:r>
      <w:r>
        <w:rPr>
          <w:color w:val="000000"/>
          <w:szCs w:val="24"/>
          <w:lang w:eastAsia="lt-LT"/>
        </w:rPr>
        <w:t xml:space="preserve"> – prisirašiusių prie asmens sveikatos priežiūros įstaigos kaimo ir miesto, kurio gyventojų skaičius neviršija 4 tūkst., gyventojų skaičius;</w:t>
      </w:r>
    </w:p>
    <w:p w14:paraId="26C40B02" w14:textId="77777777" w:rsidR="00DE1622" w:rsidRDefault="00DB39FB">
      <w:pPr>
        <w:suppressAutoHyphens/>
        <w:ind w:firstLine="567"/>
        <w:jc w:val="both"/>
        <w:textAlignment w:val="center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k</w:t>
      </w:r>
      <w:r>
        <w:rPr>
          <w:color w:val="000000"/>
          <w:szCs w:val="24"/>
          <w:vertAlign w:val="subscript"/>
          <w:lang w:eastAsia="lt-LT"/>
        </w:rPr>
        <w:t>8</w:t>
      </w:r>
      <w:r>
        <w:rPr>
          <w:color w:val="000000"/>
          <w:szCs w:val="24"/>
          <w:lang w:eastAsia="lt-LT"/>
        </w:rPr>
        <w:t xml:space="preserve"> – suma (balais), kuria didinama kiekvieno prisirašiusio prie asmens s</w:t>
      </w:r>
      <w:r>
        <w:rPr>
          <w:color w:val="000000"/>
          <w:szCs w:val="24"/>
          <w:lang w:eastAsia="lt-LT"/>
        </w:rPr>
        <w:t xml:space="preserve">veikatos priežiūros įstaigos kaimo ir miesto, kurio gyventojų skaičius </w:t>
      </w:r>
      <w:r>
        <w:rPr>
          <w:szCs w:val="24"/>
          <w:lang w:eastAsia="lt-LT"/>
        </w:rPr>
        <w:t>neviršija 4 tūkst., gyventojo PAASP paslaugų metinė bazinė kaina;</w:t>
      </w:r>
    </w:p>
    <w:p w14:paraId="26C40B03" w14:textId="77777777" w:rsidR="00DE1622" w:rsidRDefault="00DB39FB">
      <w:pPr>
        <w:suppressAutoHyphens/>
        <w:ind w:firstLine="567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m</w:t>
      </w:r>
      <w:r>
        <w:rPr>
          <w:szCs w:val="24"/>
          <w:vertAlign w:val="subscript"/>
          <w:lang w:eastAsia="lt-LT"/>
        </w:rPr>
        <w:t xml:space="preserve">9 </w:t>
      </w:r>
      <w:r>
        <w:rPr>
          <w:szCs w:val="24"/>
          <w:lang w:eastAsia="lt-LT"/>
        </w:rPr>
        <w:t>– šeimos gydytojo (-ų) aptarnaujamų gyventojų skaičius (netaikoma gydytojų komandai);</w:t>
      </w:r>
    </w:p>
    <w:p w14:paraId="26C40B04" w14:textId="77777777" w:rsidR="00DE1622" w:rsidRDefault="00DB39FB">
      <w:pPr>
        <w:tabs>
          <w:tab w:val="left" w:pos="426"/>
        </w:tabs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szCs w:val="24"/>
          <w:lang w:eastAsia="lt-LT"/>
        </w:rPr>
        <w:t>k</w:t>
      </w:r>
      <w:r>
        <w:rPr>
          <w:szCs w:val="24"/>
          <w:vertAlign w:val="subscript"/>
          <w:lang w:eastAsia="lt-LT"/>
        </w:rPr>
        <w:t xml:space="preserve">9 </w:t>
      </w:r>
      <w:r>
        <w:rPr>
          <w:szCs w:val="24"/>
          <w:lang w:eastAsia="lt-LT"/>
        </w:rPr>
        <w:t>– suma (balais), kuria didi</w:t>
      </w:r>
      <w:r>
        <w:rPr>
          <w:szCs w:val="24"/>
          <w:lang w:eastAsia="lt-LT"/>
        </w:rPr>
        <w:t>nama kiekvieno šeimos gydytojo aptarnaujamo gyventojo PAASP paslaugų metinė bazinė kaina</w:t>
      </w:r>
      <w:r>
        <w:rPr>
          <w:color w:val="000000"/>
          <w:szCs w:val="24"/>
          <w:lang w:eastAsia="lt-LT"/>
        </w:rPr>
        <w:t xml:space="preserve"> (netaikoma gydytojų komandai);</w:t>
      </w:r>
      <w:r>
        <w:rPr>
          <w:b/>
          <w:bCs/>
          <w:color w:val="000000"/>
          <w:szCs w:val="24"/>
          <w:lang w:eastAsia="lt-LT"/>
        </w:rPr>
        <w:t xml:space="preserve"> </w:t>
      </w:r>
    </w:p>
    <w:p w14:paraId="26C40B05" w14:textId="77777777" w:rsidR="00DE1622" w:rsidRDefault="00DB39FB">
      <w:pPr>
        <w:tabs>
          <w:tab w:val="left" w:pos="426"/>
        </w:tabs>
        <w:ind w:firstLine="567"/>
        <w:jc w:val="both"/>
        <w:rPr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n</w:t>
      </w:r>
      <w:r>
        <w:rPr>
          <w:bCs/>
          <w:color w:val="000000"/>
          <w:szCs w:val="24"/>
          <w:vertAlign w:val="subscript"/>
          <w:lang w:eastAsia="lt-LT"/>
        </w:rPr>
        <w:t>1</w:t>
      </w:r>
      <w:r>
        <w:rPr>
          <w:bCs/>
          <w:color w:val="000000"/>
          <w:szCs w:val="24"/>
          <w:lang w:eastAsia="lt-LT"/>
        </w:rPr>
        <w:t>, n</w:t>
      </w:r>
      <w:r>
        <w:rPr>
          <w:bCs/>
          <w:color w:val="000000"/>
          <w:szCs w:val="24"/>
          <w:vertAlign w:val="subscript"/>
          <w:lang w:eastAsia="lt-LT"/>
        </w:rPr>
        <w:t xml:space="preserve">2, </w:t>
      </w:r>
      <w:r>
        <w:rPr>
          <w:bCs/>
          <w:color w:val="000000"/>
          <w:szCs w:val="24"/>
          <w:lang w:eastAsia="lt-LT"/>
        </w:rPr>
        <w:t>n</w:t>
      </w:r>
      <w:r>
        <w:rPr>
          <w:bCs/>
          <w:color w:val="000000"/>
          <w:szCs w:val="24"/>
          <w:vertAlign w:val="subscript"/>
          <w:lang w:eastAsia="lt-LT"/>
        </w:rPr>
        <w:t>3</w:t>
      </w:r>
      <w:r>
        <w:rPr>
          <w:bCs/>
          <w:color w:val="000000"/>
          <w:szCs w:val="24"/>
          <w:lang w:eastAsia="lt-LT"/>
        </w:rPr>
        <w:t xml:space="preserve"> </w:t>
      </w:r>
      <w:r>
        <w:rPr>
          <w:b/>
          <w:bCs/>
          <w:color w:val="000000"/>
          <w:szCs w:val="24"/>
          <w:lang w:eastAsia="lt-LT"/>
        </w:rPr>
        <w:t xml:space="preserve">– </w:t>
      </w:r>
      <w:r>
        <w:rPr>
          <w:bCs/>
          <w:color w:val="000000"/>
          <w:szCs w:val="24"/>
          <w:lang w:eastAsia="lt-LT"/>
        </w:rPr>
        <w:t xml:space="preserve">asmens sveikatos priežiūros paslaugų, </w:t>
      </w:r>
      <w:r>
        <w:rPr>
          <w:color w:val="000000"/>
          <w:szCs w:val="24"/>
          <w:lang w:eastAsia="lt-LT"/>
        </w:rPr>
        <w:t>kurių išlaidos apmokamos PSDF biudžeto lėšomis,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bCs/>
          <w:color w:val="000000"/>
          <w:szCs w:val="24"/>
          <w:lang w:eastAsia="lt-LT"/>
        </w:rPr>
        <w:t>bazinių kainų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balo vertė (litais), </w:t>
      </w:r>
      <w:r>
        <w:rPr>
          <w:color w:val="000000"/>
          <w:szCs w:val="24"/>
          <w:lang w:eastAsia="lt-LT"/>
        </w:rPr>
        <w:t>nustatyta sveikatos apsaugos ministro įsakymu.</w:t>
      </w:r>
    </w:p>
    <w:p w14:paraId="26C40B06" w14:textId="77777777" w:rsidR="00DE1622" w:rsidRDefault="00DB39FB">
      <w:pPr>
        <w:ind w:firstLine="67"/>
        <w:jc w:val="center"/>
        <w:rPr>
          <w:color w:val="000000"/>
          <w:szCs w:val="24"/>
          <w:lang w:eastAsia="lt-LT"/>
        </w:rPr>
      </w:pPr>
    </w:p>
    <w:bookmarkStart w:id="0" w:name="_GoBack" w:displacedByCustomXml="prev"/>
    <w:bookmarkEnd w:id="0" w:displacedByCustomXml="prev"/>
    <w:p w14:paraId="26C40B07" w14:textId="62D37EEF" w:rsidR="00DE1622" w:rsidRDefault="00DB39F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</w:t>
      </w:r>
      <w:r>
        <w:rPr>
          <w:b/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>PLANUOJAMOS METINĖS LĖŠŲ SUMOS, SKIRIAMOS UŽ PAASP SKATINAMĄSIAS PASLAUGAS, APSKAIČIAVIMAS</w:t>
      </w:r>
    </w:p>
    <w:p w14:paraId="26C40B08" w14:textId="77777777" w:rsidR="00DE1622" w:rsidRDefault="00DE1622">
      <w:pPr>
        <w:tabs>
          <w:tab w:val="left" w:pos="851"/>
        </w:tabs>
        <w:suppressAutoHyphens/>
        <w:jc w:val="both"/>
        <w:textAlignment w:val="center"/>
        <w:rPr>
          <w:color w:val="000000"/>
          <w:spacing w:val="-4"/>
          <w:szCs w:val="24"/>
          <w:lang w:eastAsia="lt-LT"/>
        </w:rPr>
      </w:pPr>
    </w:p>
    <w:p w14:paraId="26C40B09" w14:textId="77777777" w:rsidR="00DE1622" w:rsidRDefault="00DB39FB">
      <w:pPr>
        <w:tabs>
          <w:tab w:val="left" w:pos="851"/>
        </w:tabs>
        <w:suppressAutoHyphens/>
        <w:ind w:firstLine="567"/>
        <w:jc w:val="both"/>
        <w:textAlignment w:val="center"/>
        <w:rPr>
          <w:color w:val="000000"/>
          <w:spacing w:val="-4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 Planuojama metinė lėšų suma, skiriama asmens sveikatos priežiūros įstaigai už PAASP skatinamąsias</w:t>
      </w:r>
      <w:r>
        <w:rPr>
          <w:color w:val="000000"/>
          <w:spacing w:val="-4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paslaugas, apskaičiuojama pagal formulę</w:t>
      </w:r>
      <w:r>
        <w:rPr>
          <w:color w:val="000000"/>
          <w:spacing w:val="-4"/>
          <w:szCs w:val="24"/>
          <w:lang w:eastAsia="lt-LT"/>
        </w:rPr>
        <w:t>:</w:t>
      </w:r>
    </w:p>
    <w:p w14:paraId="26C40B0A" w14:textId="77777777" w:rsidR="00DE1622" w:rsidRDefault="00DE1622">
      <w:pPr>
        <w:tabs>
          <w:tab w:val="left" w:pos="851"/>
        </w:tabs>
        <w:suppressAutoHyphens/>
        <w:ind w:firstLine="567"/>
        <w:jc w:val="both"/>
        <w:textAlignment w:val="center"/>
        <w:rPr>
          <w:color w:val="000000"/>
          <w:spacing w:val="-4"/>
          <w:szCs w:val="24"/>
          <w:lang w:eastAsia="lt-LT"/>
        </w:rPr>
      </w:pPr>
    </w:p>
    <w:tbl>
      <w:tblPr>
        <w:tblW w:w="0" w:type="auto"/>
        <w:tblInd w:w="2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2570"/>
        <w:gridCol w:w="1080"/>
      </w:tblGrid>
      <w:tr w:rsidR="00DE1622" w14:paraId="26C40B0E" w14:textId="77777777">
        <w:trPr>
          <w:trHeight w:val="62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40B0B" w14:textId="77777777" w:rsidR="00DE1622" w:rsidRDefault="00DB39FB">
            <w:pPr>
              <w:suppressAutoHyphens/>
              <w:jc w:val="right"/>
              <w:textAlignment w:val="center"/>
              <w:rPr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B</w:t>
            </w:r>
            <w:r>
              <w:rPr>
                <w:b/>
                <w:bCs/>
                <w:color w:val="000000"/>
                <w:szCs w:val="24"/>
                <w:vertAlign w:val="subscript"/>
                <w:lang w:eastAsia="lt-LT"/>
              </w:rPr>
              <w:t>(ASPĮ)2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 =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14:paraId="26C40B0C" w14:textId="77777777" w:rsidR="00DE1622" w:rsidRDefault="00DB39FB">
            <w:pPr>
              <w:suppressAutoHyphens/>
              <w:jc w:val="center"/>
              <w:textAlignment w:val="center"/>
              <w:rPr>
                <w:b/>
                <w:bCs/>
                <w:color w:val="000000"/>
                <w:szCs w:val="24"/>
                <w:vertAlign w:val="subscript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(B</w:t>
            </w:r>
            <w:r>
              <w:rPr>
                <w:b/>
                <w:bCs/>
                <w:color w:val="000000"/>
                <w:szCs w:val="24"/>
                <w:vertAlign w:val="subscript"/>
                <w:lang w:eastAsia="lt-LT"/>
              </w:rPr>
              <w:t>TLK</w:t>
            </w:r>
            <w:r>
              <w:rPr>
                <w:b/>
                <w:bCs/>
                <w:color w:val="000000"/>
                <w:szCs w:val="24"/>
                <w:lang w:eastAsia="lt-LT"/>
              </w:rPr>
              <w:t>–B</w:t>
            </w:r>
            <w:r>
              <w:rPr>
                <w:b/>
                <w:bCs/>
                <w:color w:val="000000"/>
                <w:szCs w:val="24"/>
                <w:vertAlign w:val="subscript"/>
                <w:lang w:eastAsia="lt-LT"/>
              </w:rPr>
              <w:t>N</w:t>
            </w:r>
            <w:r>
              <w:rPr>
                <w:b/>
                <w:bCs/>
                <w:color w:val="000000"/>
                <w:szCs w:val="24"/>
                <w:lang w:eastAsia="lt-LT"/>
              </w:rPr>
              <w:t>)</w:t>
            </w:r>
            <w:r>
              <w:rPr>
                <w:b/>
                <w:bCs/>
                <w:color w:val="000000"/>
                <w:szCs w:val="24"/>
                <w:vertAlign w:val="subscript"/>
                <w:lang w:eastAsia="lt-LT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40B0D" w14:textId="77777777" w:rsidR="00DE1622" w:rsidRDefault="00DB39FB">
            <w:pPr>
              <w:tabs>
                <w:tab w:val="left" w:pos="318"/>
              </w:tabs>
              <w:suppressAutoHyphens/>
              <w:textAlignment w:val="center"/>
              <w:rPr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* m</w:t>
            </w:r>
            <w:r>
              <w:rPr>
                <w:bCs/>
                <w:color w:val="000000"/>
                <w:szCs w:val="24"/>
                <w:lang w:eastAsia="lt-LT"/>
              </w:rPr>
              <w:t>,</w:t>
            </w:r>
          </w:p>
        </w:tc>
      </w:tr>
      <w:tr w:rsidR="00DE1622" w14:paraId="26C40B12" w14:textId="77777777">
        <w:trPr>
          <w:trHeight w:val="271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40B0F" w14:textId="77777777" w:rsidR="00DE1622" w:rsidRDefault="00DE1622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14:paraId="26C40B10" w14:textId="77777777" w:rsidR="00DE1622" w:rsidRDefault="00DB39FB">
            <w:pPr>
              <w:suppressAutoHyphens/>
              <w:jc w:val="center"/>
              <w:textAlignment w:val="center"/>
              <w:rPr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40B11" w14:textId="77777777" w:rsidR="00DE1622" w:rsidRDefault="00DE1622">
            <w:pPr>
              <w:rPr>
                <w:color w:val="000000"/>
                <w:szCs w:val="24"/>
                <w:lang w:eastAsia="lt-LT"/>
              </w:rPr>
            </w:pPr>
          </w:p>
        </w:tc>
      </w:tr>
    </w:tbl>
    <w:p w14:paraId="26C40B13" w14:textId="77777777" w:rsidR="00DE1622" w:rsidRDefault="00DE1622">
      <w:pPr>
        <w:suppressAutoHyphens/>
        <w:ind w:firstLine="312"/>
        <w:jc w:val="both"/>
        <w:textAlignment w:val="center"/>
        <w:rPr>
          <w:color w:val="000000"/>
          <w:szCs w:val="24"/>
          <w:lang w:eastAsia="lt-LT"/>
        </w:rPr>
      </w:pPr>
    </w:p>
    <w:p w14:paraId="26C40B14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kai:</w:t>
      </w:r>
    </w:p>
    <w:p w14:paraId="26C40B15" w14:textId="77777777" w:rsidR="00DE1622" w:rsidRDefault="00DB39FB">
      <w:pPr>
        <w:suppressAutoHyphens/>
        <w:ind w:firstLine="567"/>
        <w:jc w:val="both"/>
        <w:textAlignment w:val="center"/>
        <w:rPr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B</w:t>
      </w:r>
      <w:r>
        <w:rPr>
          <w:bCs/>
          <w:color w:val="000000"/>
          <w:szCs w:val="24"/>
          <w:vertAlign w:val="subscript"/>
          <w:lang w:eastAsia="lt-LT"/>
        </w:rPr>
        <w:t>(ASPĮ)2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– planuojama metinė lėšų suma asmens sveikatos priežiūros įstaigos PAASP skatinamųjų paslaugų išlaidoms apmokėti</w:t>
      </w:r>
      <w:r>
        <w:rPr>
          <w:szCs w:val="24"/>
          <w:lang w:eastAsia="lt-LT"/>
        </w:rPr>
        <w:t>;</w:t>
      </w:r>
    </w:p>
    <w:p w14:paraId="26C40B16" w14:textId="77777777" w:rsidR="00DE1622" w:rsidRDefault="00DB39FB">
      <w:pPr>
        <w:suppressAutoHyphens/>
        <w:ind w:firstLine="567"/>
        <w:jc w:val="both"/>
        <w:textAlignment w:val="center"/>
        <w:rPr>
          <w:strike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B</w:t>
      </w:r>
      <w:r>
        <w:rPr>
          <w:color w:val="000000"/>
          <w:szCs w:val="24"/>
          <w:vertAlign w:val="subscript"/>
          <w:lang w:eastAsia="lt-LT"/>
        </w:rPr>
        <w:t>TLK</w:t>
      </w:r>
      <w:r>
        <w:rPr>
          <w:color w:val="000000"/>
          <w:szCs w:val="24"/>
          <w:lang w:eastAsia="lt-LT"/>
        </w:rPr>
        <w:t xml:space="preserve"> – </w:t>
      </w:r>
      <w:r>
        <w:rPr>
          <w:szCs w:val="24"/>
          <w:lang w:eastAsia="lt-LT"/>
        </w:rPr>
        <w:t>bendra TLK lėšų suma PAASP</w:t>
      </w:r>
      <w:r>
        <w:rPr>
          <w:color w:val="000000"/>
          <w:szCs w:val="24"/>
          <w:lang w:eastAsia="lt-LT"/>
        </w:rPr>
        <w:t xml:space="preserve"> skatinamųjų paslaugų išlaidoms apmokėti; </w:t>
      </w:r>
    </w:p>
    <w:p w14:paraId="26C40B17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B</w:t>
      </w:r>
      <w:r>
        <w:rPr>
          <w:color w:val="000000"/>
          <w:szCs w:val="24"/>
          <w:vertAlign w:val="subscript"/>
          <w:lang w:eastAsia="lt-LT"/>
        </w:rPr>
        <w:t xml:space="preserve">N  </w:t>
      </w:r>
      <w:r>
        <w:rPr>
          <w:color w:val="000000"/>
          <w:szCs w:val="24"/>
          <w:lang w:eastAsia="lt-LT"/>
        </w:rPr>
        <w:t xml:space="preserve">– TLK nepaskirstytos lėšos PAASP skatinamųjų paslaugų išlaidoms apmokėti; </w:t>
      </w:r>
    </w:p>
    <w:p w14:paraId="26C40B18" w14:textId="77777777" w:rsidR="00DE1622" w:rsidRDefault="00DB39FB">
      <w:pPr>
        <w:tabs>
          <w:tab w:val="left" w:pos="426"/>
          <w:tab w:val="left" w:pos="851"/>
        </w:tabs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g – TLK aptarnaujamos zonos </w:t>
      </w:r>
      <w:r>
        <w:rPr>
          <w:szCs w:val="24"/>
          <w:lang w:eastAsia="lt-LT"/>
        </w:rPr>
        <w:t xml:space="preserve">prisirašiusių </w:t>
      </w:r>
      <w:r>
        <w:rPr>
          <w:color w:val="000000"/>
          <w:szCs w:val="24"/>
          <w:lang w:eastAsia="lt-LT"/>
        </w:rPr>
        <w:t>prie asmens sveikatos priežiūros įstaigų gyventojų skaičius (einamųjų metų lapkričio 30 dien</w:t>
      </w:r>
      <w:r>
        <w:rPr>
          <w:color w:val="000000"/>
          <w:szCs w:val="24"/>
          <w:lang w:eastAsia="lt-LT"/>
        </w:rPr>
        <w:t>os duomenimis);</w:t>
      </w:r>
    </w:p>
    <w:p w14:paraId="26C40B19" w14:textId="77777777" w:rsidR="00DE1622" w:rsidRDefault="00DB39FB">
      <w:pPr>
        <w:tabs>
          <w:tab w:val="left" w:pos="426"/>
          <w:tab w:val="left" w:pos="851"/>
        </w:tabs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m – </w:t>
      </w:r>
      <w:r>
        <w:rPr>
          <w:szCs w:val="24"/>
          <w:lang w:eastAsia="lt-LT"/>
        </w:rPr>
        <w:t xml:space="preserve">prisirašiusių prie </w:t>
      </w:r>
      <w:r>
        <w:rPr>
          <w:color w:val="000000"/>
          <w:szCs w:val="24"/>
          <w:lang w:eastAsia="lt-LT"/>
        </w:rPr>
        <w:t>asmens sveikatos priežiūros įstaigos gyventojų skaičius (einamųjų metų lapkričio 30 dienos duomenimis).</w:t>
      </w:r>
    </w:p>
    <w:p w14:paraId="26C40B1A" w14:textId="77777777" w:rsidR="00DE1622" w:rsidRDefault="00DB39FB">
      <w:pPr>
        <w:jc w:val="center"/>
        <w:rPr>
          <w:b/>
          <w:szCs w:val="24"/>
          <w:lang w:eastAsia="lt-LT"/>
        </w:rPr>
      </w:pPr>
    </w:p>
    <w:p w14:paraId="26C40B1B" w14:textId="77777777" w:rsidR="00DE1622" w:rsidRDefault="00DB39F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</w:t>
      </w:r>
      <w:r>
        <w:rPr>
          <w:b/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 xml:space="preserve">PLANUOJAMOS LĖŠŲ SUMOS, SKIRIAMOS UŽ GERUS PAASP (IŠSKYRUS PIRMINĖS AMBULATORINĖS PSICHIKOS SVEIKATOS </w:t>
      </w:r>
      <w:r>
        <w:rPr>
          <w:b/>
          <w:szCs w:val="24"/>
          <w:lang w:eastAsia="lt-LT"/>
        </w:rPr>
        <w:t>PRIEŽIŪROS) DARBO REZULTATUS, APSKAIČIAVIMAS</w:t>
      </w:r>
    </w:p>
    <w:p w14:paraId="26C40B1C" w14:textId="77777777" w:rsidR="00DE1622" w:rsidRDefault="00DE1622">
      <w:pPr>
        <w:jc w:val="center"/>
        <w:rPr>
          <w:b/>
          <w:szCs w:val="24"/>
          <w:lang w:eastAsia="lt-LT"/>
        </w:rPr>
      </w:pPr>
    </w:p>
    <w:p w14:paraId="26C40B1D" w14:textId="77777777" w:rsidR="00DE1622" w:rsidRDefault="00DB39FB">
      <w:pPr>
        <w:tabs>
          <w:tab w:val="left" w:pos="851"/>
        </w:tabs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 xml:space="preserve">. Planuojama PSDF biudžeto lėšų suma, skiriama asmens sveikatos priežiūros įstaigai už gerus PAASP (išskyrus pirminės ambulatorinės psichikos sveikatos priežiūros) darbo rezultatus, apskaičiuojama pagal </w:t>
      </w:r>
      <w:r>
        <w:rPr>
          <w:color w:val="000000"/>
          <w:szCs w:val="24"/>
          <w:lang w:eastAsia="lt-LT"/>
        </w:rPr>
        <w:t>formulę:</w:t>
      </w:r>
    </w:p>
    <w:p w14:paraId="26C40B1E" w14:textId="77777777" w:rsidR="00DE1622" w:rsidRDefault="00DE1622">
      <w:pPr>
        <w:tabs>
          <w:tab w:val="left" w:pos="851"/>
        </w:tabs>
        <w:suppressAutoHyphens/>
        <w:jc w:val="both"/>
        <w:textAlignment w:val="center"/>
        <w:rPr>
          <w:color w:val="000000"/>
          <w:szCs w:val="24"/>
          <w:lang w:eastAsia="lt-LT"/>
        </w:rPr>
      </w:pPr>
    </w:p>
    <w:p w14:paraId="26C40B1F" w14:textId="77777777" w:rsidR="00DE1622" w:rsidRDefault="00DB39FB">
      <w:pPr>
        <w:tabs>
          <w:tab w:val="left" w:pos="851"/>
        </w:tabs>
        <w:suppressAutoHyphens/>
        <w:jc w:val="center"/>
        <w:textAlignment w:val="center"/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lastRenderedPageBreak/>
        <w:t>B</w:t>
      </w:r>
      <w:r>
        <w:rPr>
          <w:b/>
          <w:color w:val="000000"/>
          <w:szCs w:val="24"/>
          <w:vertAlign w:val="subscript"/>
          <w:lang w:eastAsia="lt-LT"/>
        </w:rPr>
        <w:t xml:space="preserve">(ASPĮ)3 </w:t>
      </w:r>
      <w:r>
        <w:rPr>
          <w:b/>
          <w:color w:val="000000"/>
          <w:szCs w:val="24"/>
          <w:lang w:eastAsia="lt-LT"/>
        </w:rPr>
        <w:t xml:space="preserve">= </w:t>
      </w:r>
      <w:r>
        <w:rPr>
          <w:b/>
          <w:vanish/>
          <w:color w:val="000000"/>
          <w:szCs w:val="24"/>
          <w:lang w:eastAsia="lt-LT"/>
        </w:rPr>
        <w:t>SUMA</w:t>
      </w:r>
      <w:r>
        <w:rPr>
          <w:b/>
          <w:color w:val="000000"/>
          <w:szCs w:val="24"/>
          <w:lang w:eastAsia="lt-LT"/>
        </w:rPr>
        <w:object w:dxaOrig="465" w:dyaOrig="405" w14:anchorId="26C40B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pt;height:20.4pt" o:ole="">
            <v:imagedata r:id="rId8" o:title=""/>
          </v:shape>
          <o:OLEObject Type="Embed" ProgID="Equation.3" ShapeID="_x0000_i1025" DrawAspect="Content" ObjectID="_1498475147" r:id="rId9"/>
        </w:object>
      </w:r>
      <w:r>
        <w:rPr>
          <w:b/>
          <w:color w:val="000000"/>
          <w:szCs w:val="24"/>
          <w:lang w:eastAsia="lt-LT"/>
        </w:rPr>
        <w:t>R</w:t>
      </w:r>
      <w:r>
        <w:rPr>
          <w:b/>
          <w:color w:val="000000"/>
          <w:szCs w:val="24"/>
          <w:vertAlign w:val="subscript"/>
          <w:lang w:eastAsia="lt-LT"/>
        </w:rPr>
        <w:t xml:space="preserve">GDR sąlyginiais vienetais </w:t>
      </w:r>
      <w:r>
        <w:rPr>
          <w:b/>
          <w:color w:val="000000"/>
          <w:szCs w:val="24"/>
          <w:lang w:eastAsia="lt-LT"/>
        </w:rPr>
        <w:t>*p*k</w:t>
      </w:r>
      <w:r>
        <w:rPr>
          <w:color w:val="000000"/>
          <w:szCs w:val="24"/>
          <w:lang w:eastAsia="lt-LT"/>
        </w:rPr>
        <w:t>,</w:t>
      </w:r>
    </w:p>
    <w:p w14:paraId="26C40B20" w14:textId="77777777" w:rsidR="00DE1622" w:rsidRDefault="00DE1622">
      <w:pPr>
        <w:suppressAutoHyphens/>
        <w:jc w:val="both"/>
        <w:textAlignment w:val="center"/>
        <w:rPr>
          <w:color w:val="000000"/>
          <w:szCs w:val="24"/>
          <w:lang w:eastAsia="lt-LT"/>
        </w:rPr>
      </w:pPr>
    </w:p>
    <w:p w14:paraId="26C40B21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kai:</w:t>
      </w:r>
    </w:p>
    <w:p w14:paraId="26C40B22" w14:textId="77777777" w:rsidR="00DE1622" w:rsidRDefault="00DB39FB">
      <w:pPr>
        <w:suppressAutoHyphens/>
        <w:ind w:firstLine="567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B</w:t>
      </w:r>
      <w:r>
        <w:rPr>
          <w:szCs w:val="24"/>
          <w:vertAlign w:val="subscript"/>
          <w:lang w:eastAsia="lt-LT"/>
        </w:rPr>
        <w:t>(ASPĮ)3</w:t>
      </w:r>
      <w:r>
        <w:rPr>
          <w:szCs w:val="24"/>
          <w:lang w:eastAsia="lt-LT"/>
        </w:rPr>
        <w:t xml:space="preserve"> – planuojama PSDF biudžeto lėšų suma, skiriama </w:t>
      </w:r>
      <w:r>
        <w:rPr>
          <w:color w:val="000000"/>
          <w:szCs w:val="24"/>
          <w:lang w:eastAsia="lt-LT"/>
        </w:rPr>
        <w:t xml:space="preserve">asmens sveikatos priežiūros įstaigai </w:t>
      </w:r>
      <w:r>
        <w:rPr>
          <w:szCs w:val="24"/>
          <w:lang w:eastAsia="lt-LT"/>
        </w:rPr>
        <w:t xml:space="preserve">už gerus PAASP (išskyrus pirminę ambulatorinę psichikos sveikatos priežiūrą) </w:t>
      </w:r>
      <w:r>
        <w:rPr>
          <w:szCs w:val="24"/>
          <w:lang w:eastAsia="lt-LT"/>
        </w:rPr>
        <w:t>darbo rezultatus;</w:t>
      </w:r>
    </w:p>
    <w:p w14:paraId="26C40B23" w14:textId="77777777" w:rsidR="00DE1622" w:rsidRDefault="00DB39FB">
      <w:pPr>
        <w:suppressAutoHyphens/>
        <w:ind w:firstLine="567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R</w:t>
      </w:r>
      <w:r>
        <w:rPr>
          <w:szCs w:val="24"/>
          <w:vertAlign w:val="subscript"/>
          <w:lang w:eastAsia="lt-LT"/>
        </w:rPr>
        <w:t xml:space="preserve">GDR sąlyginiais vienetais </w:t>
      </w:r>
      <w:r>
        <w:rPr>
          <w:szCs w:val="24"/>
          <w:lang w:eastAsia="lt-LT"/>
        </w:rPr>
        <w:t>– PAASP gerų darbo rezultatų rodiklių, pagal kuriuos mokama asmens sveikatos priežiūros įstaigai sveikatos apsaugos ministro nustatyta tvarka,</w:t>
      </w:r>
      <w:r>
        <w:rPr>
          <w:i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reikšmių sąlyginiais vienetais suma; </w:t>
      </w:r>
    </w:p>
    <w:p w14:paraId="26C40B24" w14:textId="77777777" w:rsidR="00DE1622" w:rsidRDefault="00DB39FB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 – prisirašiusių prie </w:t>
      </w:r>
      <w:r>
        <w:rPr>
          <w:szCs w:val="24"/>
          <w:lang w:eastAsia="lt-LT"/>
        </w:rPr>
        <w:t xml:space="preserve">asmens </w:t>
      </w:r>
      <w:r>
        <w:rPr>
          <w:szCs w:val="24"/>
          <w:lang w:eastAsia="lt-LT"/>
        </w:rPr>
        <w:t xml:space="preserve">sveikatos priežiūros įstaigos </w:t>
      </w:r>
      <w:r>
        <w:rPr>
          <w:color w:val="000000"/>
          <w:szCs w:val="24"/>
          <w:lang w:eastAsia="lt-LT"/>
        </w:rPr>
        <w:t>gyventojų skaičiaus metinis vidurkis;</w:t>
      </w:r>
    </w:p>
    <w:p w14:paraId="26C40B25" w14:textId="77777777" w:rsidR="00DE1622" w:rsidRDefault="00DB39FB">
      <w:pPr>
        <w:suppressAutoHyphens/>
        <w:ind w:firstLine="567"/>
        <w:jc w:val="both"/>
        <w:textAlignment w:val="center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k – sąliginio vieneto vertė liotais. </w:t>
      </w:r>
    </w:p>
    <w:p w14:paraId="26C40B26" w14:textId="77777777" w:rsidR="00DE1622" w:rsidRDefault="00DB39FB">
      <w:pPr>
        <w:suppressAutoHyphens/>
        <w:ind w:firstLine="720"/>
        <w:jc w:val="both"/>
        <w:textAlignment w:val="center"/>
        <w:rPr>
          <w:szCs w:val="24"/>
          <w:lang w:eastAsia="lt-LT"/>
        </w:rPr>
      </w:pPr>
    </w:p>
    <w:p w14:paraId="26C40B27" w14:textId="77777777" w:rsidR="00DE1622" w:rsidRDefault="00DB39F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 xml:space="preserve">PLANUOJAMOS LĖŠŲ SUMOS, SKIRIAMOS UŽ GERUS PIRMINĖS AMBULATORINĖS PSICHIKOS SVEIKATOS PRIEŽIŪROS DARBO REZULTATUS, APSKAIČIAVIMAS </w:t>
      </w:r>
    </w:p>
    <w:p w14:paraId="26C40B28" w14:textId="77777777" w:rsidR="00DE1622" w:rsidRDefault="00DE1622">
      <w:pPr>
        <w:jc w:val="center"/>
        <w:rPr>
          <w:b/>
          <w:szCs w:val="24"/>
          <w:lang w:eastAsia="lt-LT"/>
        </w:rPr>
      </w:pPr>
    </w:p>
    <w:p w14:paraId="26C40B29" w14:textId="77777777" w:rsidR="00DE1622" w:rsidRDefault="00DB39FB">
      <w:pPr>
        <w:suppressAutoHyphens/>
        <w:ind w:firstLine="567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P</w:t>
      </w:r>
      <w:r>
        <w:rPr>
          <w:szCs w:val="24"/>
          <w:lang w:eastAsia="lt-LT"/>
        </w:rPr>
        <w:t>lanuojama lėšų suma, skiriama asmens sveikatos priežiūros įstaigai už pirminės ambulatorinės psichikos sveikatos priežiūros gerus darbo rezultatus, apskaičiuojama pagal formulę:</w:t>
      </w:r>
    </w:p>
    <w:p w14:paraId="26C40B2A" w14:textId="77777777" w:rsidR="00DE1622" w:rsidRDefault="00DE1622">
      <w:pPr>
        <w:suppressAutoHyphens/>
        <w:ind w:firstLine="312"/>
        <w:jc w:val="both"/>
        <w:textAlignment w:val="center"/>
        <w:rPr>
          <w:szCs w:val="24"/>
          <w:lang w:eastAsia="lt-LT"/>
        </w:rPr>
      </w:pPr>
    </w:p>
    <w:p w14:paraId="26C40B2B" w14:textId="77777777" w:rsidR="00DE1622" w:rsidRDefault="00DB39FB">
      <w:pPr>
        <w:suppressAutoHyphens/>
        <w:jc w:val="center"/>
        <w:textAlignment w:val="center"/>
        <w:rPr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B</w:t>
      </w:r>
      <w:r>
        <w:rPr>
          <w:b/>
          <w:color w:val="000000"/>
          <w:szCs w:val="24"/>
          <w:vertAlign w:val="subscript"/>
          <w:lang w:eastAsia="lt-LT"/>
        </w:rPr>
        <w:t xml:space="preserve">(ASPĮ)4 </w:t>
      </w:r>
      <w:r>
        <w:rPr>
          <w:b/>
          <w:color w:val="000000"/>
          <w:szCs w:val="24"/>
          <w:lang w:eastAsia="lt-LT"/>
        </w:rPr>
        <w:t xml:space="preserve">= </w:t>
      </w:r>
      <w:r>
        <w:rPr>
          <w:b/>
          <w:vanish/>
          <w:color w:val="000000"/>
          <w:szCs w:val="24"/>
          <w:lang w:eastAsia="lt-LT"/>
        </w:rPr>
        <w:t>SUMA</w:t>
      </w:r>
      <w:r>
        <w:rPr>
          <w:b/>
          <w:color w:val="000000"/>
          <w:szCs w:val="24"/>
          <w:lang w:eastAsia="lt-LT"/>
        </w:rPr>
        <w:object w:dxaOrig="465" w:dyaOrig="405" w14:anchorId="26C40B39">
          <v:shape id="_x0000_i1026" type="#_x0000_t75" style="width:23.1pt;height:20.4pt" o:ole="">
            <v:imagedata r:id="rId10" o:title=""/>
          </v:shape>
          <o:OLEObject Type="Embed" ProgID="Equation.3" ShapeID="_x0000_i1026" DrawAspect="Content" ObjectID="_1498475148" r:id="rId11"/>
        </w:object>
      </w:r>
      <w:r>
        <w:rPr>
          <w:b/>
          <w:color w:val="000000"/>
          <w:szCs w:val="24"/>
          <w:lang w:eastAsia="lt-LT"/>
        </w:rPr>
        <w:t>RP</w:t>
      </w:r>
      <w:r>
        <w:rPr>
          <w:b/>
          <w:color w:val="000000"/>
          <w:szCs w:val="24"/>
          <w:vertAlign w:val="subscript"/>
          <w:lang w:eastAsia="lt-LT"/>
        </w:rPr>
        <w:t xml:space="preserve">GDR sąlyginiais vienetais </w:t>
      </w:r>
      <w:r>
        <w:rPr>
          <w:b/>
          <w:color w:val="000000"/>
          <w:szCs w:val="24"/>
          <w:lang w:eastAsia="lt-LT"/>
        </w:rPr>
        <w:t>*p*z</w:t>
      </w:r>
      <w:r>
        <w:rPr>
          <w:color w:val="000000"/>
          <w:szCs w:val="24"/>
          <w:lang w:eastAsia="lt-LT"/>
        </w:rPr>
        <w:t>,</w:t>
      </w:r>
    </w:p>
    <w:p w14:paraId="26C40B2C" w14:textId="77777777" w:rsidR="00DE1622" w:rsidRDefault="00DE1622">
      <w:pPr>
        <w:suppressAutoHyphens/>
        <w:jc w:val="both"/>
        <w:textAlignment w:val="center"/>
        <w:rPr>
          <w:color w:val="000000"/>
          <w:szCs w:val="24"/>
          <w:lang w:eastAsia="lt-LT"/>
        </w:rPr>
      </w:pPr>
    </w:p>
    <w:p w14:paraId="26C40B2D" w14:textId="77777777" w:rsidR="00DE1622" w:rsidRDefault="00DB39FB">
      <w:pPr>
        <w:suppressAutoHyphens/>
        <w:ind w:firstLine="567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kai:</w:t>
      </w:r>
    </w:p>
    <w:p w14:paraId="26C40B2E" w14:textId="77777777" w:rsidR="00DE1622" w:rsidRDefault="00DB39FB">
      <w:pPr>
        <w:suppressAutoHyphens/>
        <w:ind w:firstLine="567"/>
        <w:jc w:val="both"/>
        <w:textAlignment w:val="center"/>
        <w:rPr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B</w:t>
      </w:r>
      <w:r>
        <w:rPr>
          <w:bCs/>
          <w:color w:val="000000"/>
          <w:szCs w:val="24"/>
          <w:vertAlign w:val="subscript"/>
          <w:lang w:eastAsia="lt-LT"/>
        </w:rPr>
        <w:t>(ASPĮ)4</w:t>
      </w:r>
      <w:r>
        <w:rPr>
          <w:szCs w:val="24"/>
          <w:lang w:eastAsia="lt-LT"/>
        </w:rPr>
        <w:t xml:space="preserve"> – planuojama lėšų suma, skiriama asmens sveikatos priežiūros įstaigai už pirminės ambulatorinės psichikos sveikatos priežiūros gerus darbo rezultatus;</w:t>
      </w:r>
    </w:p>
    <w:p w14:paraId="26C40B2F" w14:textId="77777777" w:rsidR="00DE1622" w:rsidRDefault="00DB39FB">
      <w:pPr>
        <w:suppressAutoHyphens/>
        <w:ind w:firstLine="567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RP</w:t>
      </w:r>
      <w:r>
        <w:rPr>
          <w:szCs w:val="24"/>
          <w:vertAlign w:val="subscript"/>
          <w:lang w:eastAsia="lt-LT"/>
        </w:rPr>
        <w:t xml:space="preserve">GDR </w:t>
      </w:r>
      <w:r>
        <w:rPr>
          <w:szCs w:val="24"/>
          <w:lang w:eastAsia="lt-LT"/>
        </w:rPr>
        <w:t xml:space="preserve">sąlyginiais vienetais – pirminės ambulatorinės psichikos sveikatos priežiūros gerų darbo </w:t>
      </w:r>
      <w:r>
        <w:rPr>
          <w:szCs w:val="24"/>
          <w:lang w:eastAsia="lt-LT"/>
        </w:rPr>
        <w:t>rezultatų rodiklių, pagal kuriuos mokama asmens sveikatos priežiūros įstaigai sveikatos apsaugos ministro nustatyta tvarka, reikšmių sąlyginiais vienetais suma;</w:t>
      </w:r>
    </w:p>
    <w:p w14:paraId="26C40B30" w14:textId="77777777" w:rsidR="00DE1622" w:rsidRDefault="00DB39FB">
      <w:pPr>
        <w:suppressAutoHyphens/>
        <w:ind w:firstLine="567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p – prisirašiusių prie asmens sveikatos priežiūros įstaigos gyventojų skaičiaus metinis vidurki</w:t>
      </w:r>
      <w:r>
        <w:rPr>
          <w:szCs w:val="24"/>
          <w:lang w:eastAsia="lt-LT"/>
        </w:rPr>
        <w:t>s;</w:t>
      </w:r>
    </w:p>
    <w:p w14:paraId="26C40B31" w14:textId="77777777" w:rsidR="00DE1622" w:rsidRDefault="00DB39FB">
      <w:pPr>
        <w:suppressAutoHyphens/>
        <w:ind w:firstLine="567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z – sąlyginio vieneto vertė litais.</w:t>
      </w:r>
    </w:p>
    <w:p w14:paraId="26C40B32" w14:textId="77777777" w:rsidR="00DE1622" w:rsidRDefault="00DB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4"/>
          <w:lang w:eastAsia="lt-LT"/>
        </w:rPr>
      </w:pPr>
    </w:p>
    <w:p w14:paraId="26C40B33" w14:textId="77777777" w:rsidR="00DE1622" w:rsidRDefault="00DB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</w:t>
      </w:r>
      <w:r>
        <w:rPr>
          <w:b/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>BAIGIAMOSIOS NUOSTATOS</w:t>
      </w:r>
    </w:p>
    <w:p w14:paraId="26C40B34" w14:textId="77777777" w:rsidR="00DE1622" w:rsidRDefault="00DE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t-LT"/>
        </w:rPr>
      </w:pPr>
    </w:p>
    <w:p w14:paraId="26C40B35" w14:textId="77777777" w:rsidR="00DE1622" w:rsidRDefault="00DB39FB">
      <w:pPr>
        <w:suppressAutoHyphens/>
        <w:ind w:firstLine="567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Metinė lėšų suma, skiriama iš PSDF biudžeto asmens sveikatos priežiūros įstaigų PAASP paslaugų išlaidoms apmokėti, gali būti koreguojama teritorinių ligonių kasų ir asmens sveikatos priežiūros įstaigų sutarčių sudarymo metu. </w:t>
      </w:r>
    </w:p>
    <w:p w14:paraId="26C40B36" w14:textId="77777777" w:rsidR="00DE1622" w:rsidRDefault="00DB39FB">
      <w:pPr>
        <w:suppressAutoHyphens/>
        <w:ind w:firstLine="567"/>
        <w:jc w:val="both"/>
        <w:textAlignment w:val="center"/>
        <w:rPr>
          <w:szCs w:val="24"/>
          <w:lang w:eastAsia="lt-LT"/>
        </w:rPr>
      </w:pPr>
    </w:p>
    <w:p w14:paraId="26C40B37" w14:textId="77777777" w:rsidR="00DE1622" w:rsidRDefault="00DB39FB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sectPr w:rsidR="00DE1622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16"/>
    <w:rsid w:val="00B57E16"/>
    <w:rsid w:val="00DB39FB"/>
    <w:rsid w:val="00D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C40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B39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B3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image" Target="media/image2.wmf"/>
  <Relationship Id="rId11" Type="http://schemas.openxmlformats.org/officeDocument/2006/relationships/oleObject" Target="embeddings/oleObject2.bin"/>
  <Relationship Id="rId12" Type="http://schemas.openxmlformats.org/officeDocument/2006/relationships/fontTable" Target="fontTable.xml"/>
  <Relationship Id="rId13" Type="http://schemas.openxmlformats.org/officeDocument/2006/relationships/glossaryDocument" Target="glossary/document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94F6B680E8B8"/>
  <Relationship Id="rId7" Type="http://schemas.openxmlformats.org/officeDocument/2006/relationships/hyperlink" TargetMode="External" Target="https://www.e-tar.lt/portal/lt/legalAct/TAR.8AC83320B76A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3A"/>
    <w:rsid w:val="0055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1E3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1E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5108</Words>
  <Characters>2913</Characters>
  <Application>Microsoft Office Word</Application>
  <DocSecurity>0</DocSecurity>
  <Lines>24</Lines>
  <Paragraphs>16</Paragraphs>
  <ScaleCrop>false</ScaleCrop>
  <Company/>
  <LinksUpToDate>false</LinksUpToDate>
  <CharactersWithSpaces>8005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2015-07-04T21:24:00Z</dcterms:created>
  <dc:creator>Rima</dc:creator>
  <lastModifiedBy>PETRAUSKAITĖ Girmantė</lastModifiedBy>
  <dcterms:modified xsi:type="dcterms:W3CDTF">2015-07-15T11:19:00Z</dcterms:modified>
  <revision>3</revision>
  <dc:title>LIETUVOS RESPUBLIKOS SVEIKATOS APSAUGOS MINISTRO</dc:title>
</coreProperties>
</file>