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4B7B" w14:textId="77777777" w:rsidR="00A669F9" w:rsidRDefault="00A669F9">
      <w:pPr>
        <w:tabs>
          <w:tab w:val="center" w:pos="4153"/>
          <w:tab w:val="right" w:pos="8306"/>
        </w:tabs>
        <w:rPr>
          <w:lang w:val="en-GB"/>
        </w:rPr>
      </w:pPr>
    </w:p>
    <w:p w14:paraId="69D24B7C" w14:textId="77777777" w:rsidR="00A669F9" w:rsidRDefault="00593EA1">
      <w:pPr>
        <w:widowControl w:val="0"/>
        <w:jc w:val="center"/>
        <w:rPr>
          <w:caps/>
        </w:rPr>
      </w:pPr>
      <w:r>
        <w:rPr>
          <w:caps/>
          <w:lang w:eastAsia="lt-LT"/>
        </w:rPr>
        <w:pict w14:anchorId="69D24B9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69D24B7D" w14:textId="77777777" w:rsidR="00A669F9" w:rsidRDefault="00593EA1">
      <w:pPr>
        <w:widowControl w:val="0"/>
        <w:jc w:val="center"/>
        <w:rPr>
          <w:caps/>
          <w:spacing w:val="60"/>
        </w:rPr>
      </w:pPr>
      <w:r>
        <w:rPr>
          <w:caps/>
          <w:spacing w:val="60"/>
        </w:rPr>
        <w:t>NUTARIMAS</w:t>
      </w:r>
    </w:p>
    <w:p w14:paraId="69D24B7E" w14:textId="77777777" w:rsidR="00A669F9" w:rsidRDefault="00A669F9">
      <w:pPr>
        <w:widowControl w:val="0"/>
        <w:jc w:val="center"/>
        <w:outlineLvl w:val="1"/>
        <w:rPr>
          <w:caps/>
        </w:rPr>
      </w:pPr>
    </w:p>
    <w:p w14:paraId="69D24B7F" w14:textId="77777777" w:rsidR="00A669F9" w:rsidRDefault="00593EA1">
      <w:pPr>
        <w:jc w:val="center"/>
        <w:rPr>
          <w:b/>
        </w:rPr>
      </w:pPr>
      <w:r>
        <w:rPr>
          <w:b/>
        </w:rPr>
        <w:t>DĖL LIETUVOS RESPUBLIKOS VYRIAUSYBĖS 2003 M. LAPKRIČIO 12 D. NUTARIMO NR. 1407 „DĖL JURIDINIŲ ASMENŲ REGISTRO ĮSTEIGIMO IR JURIDINIŲ ASMENŲ REGISTRO NUOSTATŲ PATVIRTINIMO“ PAKEIT</w:t>
      </w:r>
      <w:r>
        <w:rPr>
          <w:b/>
        </w:rPr>
        <w:t>IMO</w:t>
      </w:r>
    </w:p>
    <w:p w14:paraId="69D24B80" w14:textId="77777777" w:rsidR="00A669F9" w:rsidRDefault="00A669F9"/>
    <w:p w14:paraId="69D24B81" w14:textId="77777777" w:rsidR="00A669F9" w:rsidRDefault="00593EA1">
      <w:pPr>
        <w:jc w:val="center"/>
      </w:pPr>
      <w:r>
        <w:t>2011 m. spalio 19 d. Nr. 1225</w:t>
      </w:r>
    </w:p>
    <w:p w14:paraId="69D24B82" w14:textId="77777777" w:rsidR="00A669F9" w:rsidRDefault="00593EA1">
      <w:pPr>
        <w:jc w:val="center"/>
      </w:pPr>
      <w:r>
        <w:t>Vilnius</w:t>
      </w:r>
    </w:p>
    <w:p w14:paraId="69D24B83" w14:textId="77777777" w:rsidR="00A669F9" w:rsidRDefault="00A669F9">
      <w:pPr>
        <w:jc w:val="center"/>
      </w:pPr>
    </w:p>
    <w:p w14:paraId="69D24B84" w14:textId="77777777" w:rsidR="00A669F9" w:rsidRDefault="00593EA1">
      <w:pPr>
        <w:ind w:firstLine="567"/>
        <w:jc w:val="both"/>
      </w:pPr>
      <w:r>
        <w:t>Lietuvos Respublikos Vyriausybė</w:t>
      </w:r>
      <w:r>
        <w:rPr>
          <w:spacing w:val="80"/>
        </w:rPr>
        <w:t xml:space="preserve"> </w:t>
      </w:r>
      <w:r>
        <w:rPr>
          <w:spacing w:val="60"/>
        </w:rPr>
        <w:t>nutari</w:t>
      </w:r>
      <w:r>
        <w:t>a:</w:t>
      </w:r>
    </w:p>
    <w:p w14:paraId="69D24B85" w14:textId="77777777" w:rsidR="00A669F9" w:rsidRDefault="00593EA1">
      <w:pPr>
        <w:ind w:firstLine="567"/>
        <w:jc w:val="both"/>
      </w:pPr>
      <w:r>
        <w:t>1</w:t>
      </w:r>
      <w:r>
        <w:t>. Pakeisti Lietuvos Respublikos Vyriausybės 2003 m. lapkričio 12 d. nutarimą Nr. 1407 „Dėl Juridinių asmenų registro įsteigimo ir Juridinių asmenų registro nuostatų p</w:t>
      </w:r>
      <w:r>
        <w:t xml:space="preserve">atvirtinimo“ (Žin., 2003, Nr. </w:t>
      </w:r>
      <w:hyperlink r:id="rId10" w:tgtFrame="_blank" w:history="1">
        <w:r>
          <w:rPr>
            <w:color w:val="0000FF" w:themeColor="hyperlink"/>
            <w:u w:val="single"/>
          </w:rPr>
          <w:t>107-4810</w:t>
        </w:r>
      </w:hyperlink>
      <w:r>
        <w:t xml:space="preserve">; 2005, Nr. </w:t>
      </w:r>
      <w:hyperlink r:id="rId11" w:tgtFrame="_blank" w:history="1">
        <w:r>
          <w:rPr>
            <w:color w:val="0000FF" w:themeColor="hyperlink"/>
            <w:u w:val="single"/>
          </w:rPr>
          <w:t>25-803</w:t>
        </w:r>
      </w:hyperlink>
      <w:r>
        <w:t xml:space="preserve">; </w:t>
      </w:r>
      <w:r>
        <w:rPr>
          <w:iCs/>
        </w:rPr>
        <w:t>2008, Nr. </w:t>
      </w:r>
      <w:hyperlink r:id="rId12" w:tgtFrame="_blank" w:history="1">
        <w:r>
          <w:rPr>
            <w:iCs/>
            <w:color w:val="0000FF" w:themeColor="hyperlink"/>
            <w:u w:val="single"/>
          </w:rPr>
          <w:t>82-3245</w:t>
        </w:r>
      </w:hyperlink>
      <w:r>
        <w:t xml:space="preserve">; 2009, Nr. </w:t>
      </w:r>
      <w:hyperlink r:id="rId13" w:tgtFrame="_blank" w:history="1">
        <w:r>
          <w:rPr>
            <w:color w:val="0000FF" w:themeColor="hyperlink"/>
            <w:u w:val="single"/>
          </w:rPr>
          <w:t>11-405</w:t>
        </w:r>
      </w:hyperlink>
      <w:r>
        <w:t xml:space="preserve">, Nr. </w:t>
      </w:r>
      <w:hyperlink r:id="rId14" w:tgtFrame="_blank" w:history="1">
        <w:r>
          <w:rPr>
            <w:color w:val="0000FF" w:themeColor="hyperlink"/>
            <w:u w:val="single"/>
          </w:rPr>
          <w:t>135-5882</w:t>
        </w:r>
      </w:hyperlink>
      <w:r>
        <w:t>; 2011, Nr</w:t>
      </w:r>
      <w:r>
        <w:t xml:space="preserve">. </w:t>
      </w:r>
      <w:hyperlink r:id="rId15" w:tgtFrame="_blank" w:history="1">
        <w:r>
          <w:rPr>
            <w:color w:val="0000FF" w:themeColor="hyperlink"/>
            <w:u w:val="single"/>
          </w:rPr>
          <w:t>75-3612</w:t>
        </w:r>
      </w:hyperlink>
      <w:r>
        <w:t>):</w:t>
      </w:r>
    </w:p>
    <w:p w14:paraId="69D24B86" w14:textId="77777777" w:rsidR="00A669F9" w:rsidRDefault="00593EA1">
      <w:pPr>
        <w:ind w:firstLine="567"/>
        <w:jc w:val="both"/>
      </w:pPr>
      <w:r>
        <w:t>1.1</w:t>
      </w:r>
      <w:r>
        <w:t>. Išdėstyti preambulę taip:</w:t>
      </w:r>
    </w:p>
    <w:p w14:paraId="69D24B87" w14:textId="77777777" w:rsidR="00A669F9" w:rsidRDefault="00593EA1">
      <w:pPr>
        <w:ind w:firstLine="567"/>
        <w:jc w:val="both"/>
      </w:pPr>
      <w:r>
        <w:t xml:space="preserve">„Vadovaudamasi Lietuvos Respublikos civilinio kodekso (Žin., 2000, Nr. </w:t>
      </w:r>
      <w:hyperlink r:id="rId16" w:tgtFrame="_blank" w:history="1">
        <w:r>
          <w:rPr>
            <w:color w:val="0000FF" w:themeColor="hyperlink"/>
            <w:u w:val="single"/>
          </w:rPr>
          <w:t>74-2262</w:t>
        </w:r>
      </w:hyperlink>
      <w:r>
        <w:t xml:space="preserve">) 2.62 straipsniu, 2.73 straipsnio 2 dalimi, Lietuvos Respublikos juridinių asmenų registro įstatymo (Žin., 2001, Nr. </w:t>
      </w:r>
      <w:hyperlink r:id="rId17" w:tgtFrame="_blank" w:history="1">
        <w:r>
          <w:rPr>
            <w:color w:val="0000FF" w:themeColor="hyperlink"/>
            <w:u w:val="single"/>
          </w:rPr>
          <w:t>55-1940</w:t>
        </w:r>
      </w:hyperlink>
      <w:r>
        <w:t xml:space="preserve">) 3 straipsniu, siekdama užtikrinti 1985 m. liepos 25 d. Tarybos reglamento (EEB) Nr. 2137/85 dėl Europos ekonominių interesų grupių (EEIG) (OL </w:t>
      </w:r>
      <w:r>
        <w:rPr>
          <w:i/>
        </w:rPr>
        <w:t>2004 m. specialusis leidimas,</w:t>
      </w:r>
      <w:r>
        <w:t xml:space="preserve"> 17 skyrius, 1 tomas, p. 83), 2001 m. spalio 8 d. T</w:t>
      </w:r>
      <w:r>
        <w:t xml:space="preserve">arybos reglamento (EB) Nr. 2157/2001 dėl Europos bendrovės (SE) statuto (OL </w:t>
      </w:r>
      <w:r>
        <w:rPr>
          <w:i/>
        </w:rPr>
        <w:t>2004 m. specialusis leidimas,</w:t>
      </w:r>
      <w:r>
        <w:t xml:space="preserve"> 6 skyrius, 4 tomas, p. 251), 2003 m. liepos 22 d. Tarybos reglamento (EB) Nr. 1435/2003 dėl Europos kooperatinės bendrovės (SCE) statuto (OL </w:t>
      </w:r>
      <w:r>
        <w:rPr>
          <w:i/>
        </w:rPr>
        <w:t>2004 m. s</w:t>
      </w:r>
      <w:r>
        <w:rPr>
          <w:i/>
        </w:rPr>
        <w:t>pecialusis leidimas,</w:t>
      </w:r>
      <w:r>
        <w:t xml:space="preserve"> 17 skyrius, 1 tomas, p. 280), 2006 m. liepos 5 d. Europos Parlamento ir Tarybos reglamento (EB) Nr. 1082/2006 dėl Europos teritorinio bendradarbiavimo grupės (ETBG) (OL 2006 L 210, p. 19) taikymą ir įgyvendindama 1976 m. gruodžio 13 d.</w:t>
      </w:r>
      <w:r>
        <w:t xml:space="preserve"> Antrąją Tarybos direktyvą 77/91/EEB dėl apsaugos priemonių, kurių valstybės narės, siekdamos tokias priemones suvienodinti, reikalauja iš Sutarties 58 straipsnio antroje pastraipoje apibrėžtų akcinių bendrovių, jų narių ir kitų interesų apsaugai, bendrove</w:t>
      </w:r>
      <w:r>
        <w:t xml:space="preserve">s steigiant, palaikant ir keičiant jų kapitalą, koordinavimo (OL </w:t>
      </w:r>
      <w:r>
        <w:rPr>
          <w:i/>
        </w:rPr>
        <w:t>2004 m. specialusis leidimas,</w:t>
      </w:r>
      <w:r>
        <w:t xml:space="preserve"> 17 skyrius, 1 tomas, p. 8), 1978 m. liepos 25 d. Ketvirtąją Tarybos direktyvą 78/660/EEB, grindžiamą Europos ekonominės bendrijos steigimo sutarties 54 straipsni</w:t>
      </w:r>
      <w:r>
        <w:t xml:space="preserve">o 3 dalies g punktu, dėl tam tikrų tipų bendrovių metinių atskaitomybių (OL </w:t>
      </w:r>
      <w:r>
        <w:rPr>
          <w:i/>
        </w:rPr>
        <w:t>2004 m. specialusis leidimas,</w:t>
      </w:r>
      <w:r>
        <w:t xml:space="preserve"> 17 skyrius, 1 tomas, p. 21), 1982 m. gruodžio 17 d. Šeštąją Tarybos direktyvą 82/891/EEB, pagrįstą Sutarties 54 straipsnio 3 dalies g punktu, dėl akci</w:t>
      </w:r>
      <w:r>
        <w:t xml:space="preserve">nių bendrovių skaidymo (OL </w:t>
      </w:r>
      <w:r>
        <w:rPr>
          <w:i/>
        </w:rPr>
        <w:t xml:space="preserve">2004 m. specialusis leidimas, </w:t>
      </w:r>
      <w:r>
        <w:t>17 skyrius, 1 tomas, p. 50), 1983 m. birželio 13 d. Septintąją Tarybos direktyvą 83/349/EEB, pagrįstą Europos ekonominės bendrijos steigimo sutarties 54 straipsnio 3 dalies g punktu, dėl konsoliduoto</w:t>
      </w:r>
      <w:r>
        <w:t xml:space="preserve">s atskaitomybės (OL </w:t>
      </w:r>
      <w:r>
        <w:rPr>
          <w:i/>
        </w:rPr>
        <w:t>2004 m. specialusis leidimas,</w:t>
      </w:r>
      <w:r>
        <w:t xml:space="preserve"> 17 skyrius, 1 tomas, p. 58), 1989 m. gruodžio 21 d. Vienuoliktąją Tarybos direktyvą 89/666/EEB dėl atskleidimo reikalavimų filialams, įsteigtiems valstybėse narėse tam tikrų tipų bendrovių, kurioms taikomi </w:t>
      </w:r>
      <w:r>
        <w:t xml:space="preserve">kitos valstybės įstatymai (OL </w:t>
      </w:r>
      <w:r>
        <w:rPr>
          <w:i/>
        </w:rPr>
        <w:t>2004 m. specialusis leidimas,</w:t>
      </w:r>
      <w:r>
        <w:t xml:space="preserve"> 17 skyrius, 1 tomas, p. 100), 2005 m. spalio 26 d. Europos Parlamento ir Tarybos direktyvą 2005/56/EB dėl ribotos atsakomybės bendrovių jungimųsi, peržengiančių vienos valstybės ribas (OL 2005 L 3</w:t>
      </w:r>
      <w:r>
        <w:t>10, p. 1), 2006 m. rugsėjo 6 d. Europos Parlamento ir Tarybos direktyvą 2006/68/EB, iš dalies keičiančią Tarybos direktyvos 77/91/EEB nuostatas, susijusias su ribotos atsakomybės akcinių bendrovių steigimu ir jų kapitalo palaikymu ir keitimu (OL 2006 L 264</w:t>
      </w:r>
      <w:r>
        <w:t>, p. 32), 2009 m. rugsėjo 16 d. Europos Parlamento ir Tarybos direktyvą 2009/101/EB dėl apsaugos priemonių, kurių valstybės narės reikalauja iš Sutarties 48 straipsnio antroje pastraipoje apibrėžtų bendrovių siekiant apsaugoti narių ir trečiųjų asmenų inte</w:t>
      </w:r>
      <w:r>
        <w:t xml:space="preserve">resus, koordinavimo, siekiant suvienodinti tokias apsaugos priemones (OL 2009 L 258, p. 11), 2009 m. rugsėjo </w:t>
      </w:r>
      <w:r>
        <w:lastRenderedPageBreak/>
        <w:t>16 d. Europos Parlamento ir Tarybos direktyvą 2009/102/EB bendrovių teisės srityje dėl vienanarių privačių ribotos atsakomybės bendrovių (OL 2009 L</w:t>
      </w:r>
      <w:r>
        <w:t xml:space="preserve"> 258, p. 20), 2009 m. rugsėjo 16 d. Europos Parlamento ir Tarybos direktyvą 2009/109/EB, iš dalies keičiančią Tarybos direktyvų 77/91/EEB, 78/855/EEB ir 82/891/EEB bei Direktyvos 2005/56/EB nuostatas dėl ataskaitų bei dokumentų rengimo ir teikimo reikalavi</w:t>
      </w:r>
      <w:r>
        <w:t>mų jungiant ir skaidant bendroves (OL 2009 L 259, p. 14), 2011 m. balandžio 5 d. Europos Parlamento ir Tarybos direktyvą 2011/35/ES dėl akcinių bendrovių jungimo (OL 2011 L 110, p. 1), Lietuvos Respublikos Vyriausybė nutaria:“.</w:t>
      </w:r>
    </w:p>
    <w:p w14:paraId="69D24B88" w14:textId="77777777" w:rsidR="00A669F9" w:rsidRDefault="00593EA1">
      <w:pPr>
        <w:ind w:firstLine="567"/>
        <w:jc w:val="both"/>
      </w:pPr>
      <w:r>
        <w:t>1.2</w:t>
      </w:r>
      <w:r>
        <w:t>. Nurodytu nutari</w:t>
      </w:r>
      <w:r>
        <w:t xml:space="preserve">mu patvirtintuose Juridinių asmenų registro nuostatuose: </w:t>
      </w:r>
    </w:p>
    <w:p w14:paraId="69D24B89" w14:textId="77777777" w:rsidR="00A669F9" w:rsidRDefault="00593EA1">
      <w:pPr>
        <w:ind w:firstLine="567"/>
        <w:jc w:val="both"/>
      </w:pPr>
      <w:r>
        <w:t>1.2.1</w:t>
      </w:r>
      <w:r>
        <w:t>. Papildyti nuostatus 18.8</w:t>
      </w:r>
      <w:r>
        <w:rPr>
          <w:vertAlign w:val="superscript"/>
        </w:rPr>
        <w:t>1</w:t>
      </w:r>
      <w:r>
        <w:t xml:space="preserve"> punktu:</w:t>
      </w:r>
    </w:p>
    <w:p w14:paraId="69D24B8A" w14:textId="77777777" w:rsidR="00A669F9" w:rsidRDefault="00593EA1">
      <w:pPr>
        <w:ind w:firstLine="567"/>
        <w:jc w:val="both"/>
      </w:pPr>
      <w:r>
        <w:t>„</w:t>
      </w:r>
      <w:r>
        <w:t>18.8</w:t>
      </w:r>
      <w:r>
        <w:rPr>
          <w:vertAlign w:val="superscript"/>
        </w:rPr>
        <w:t>1</w:t>
      </w:r>
      <w:r>
        <w:t>. viešosios įstaigos veiklos ataskaitos pateikimo Registro tvarkytojui data;“.</w:t>
      </w:r>
    </w:p>
    <w:p w14:paraId="69D24B8B" w14:textId="77777777" w:rsidR="00A669F9" w:rsidRDefault="00593EA1">
      <w:pPr>
        <w:ind w:firstLine="567"/>
        <w:jc w:val="both"/>
      </w:pPr>
      <w:r>
        <w:t>1.2.2</w:t>
      </w:r>
      <w:r>
        <w:t>. Išdėstyti V skyriaus skirsnio „Metinių finansinių ata</w:t>
      </w:r>
      <w:r>
        <w:t>skaitų rinkinių pateikimas“ pavadinimą taip:</w:t>
      </w:r>
    </w:p>
    <w:p w14:paraId="69D24B8C" w14:textId="77777777" w:rsidR="00A669F9" w:rsidRDefault="00593EA1">
      <w:pPr>
        <w:ind w:firstLine="567"/>
        <w:jc w:val="both"/>
      </w:pPr>
      <w:r>
        <w:t>„Metinių finansinių ataskaitų rinkinių ir viešosios įstaigos veiklos ataskaitų pateikimas“.</w:t>
      </w:r>
    </w:p>
    <w:p w14:paraId="69D24B8D" w14:textId="77777777" w:rsidR="00A669F9" w:rsidRDefault="00593EA1">
      <w:pPr>
        <w:ind w:firstLine="567"/>
        <w:jc w:val="both"/>
      </w:pPr>
      <w:r>
        <w:t>1.2.3</w:t>
      </w:r>
      <w:r>
        <w:t>. Papildyti nuostatus 91</w:t>
      </w:r>
      <w:r>
        <w:rPr>
          <w:vertAlign w:val="superscript"/>
        </w:rPr>
        <w:t>1</w:t>
      </w:r>
      <w:r>
        <w:t xml:space="preserve"> punktu:</w:t>
      </w:r>
    </w:p>
    <w:p w14:paraId="69D24B8E" w14:textId="77777777" w:rsidR="00A669F9" w:rsidRDefault="00593EA1">
      <w:pPr>
        <w:ind w:firstLine="567"/>
        <w:jc w:val="both"/>
      </w:pPr>
      <w:r>
        <w:t>„</w:t>
      </w:r>
      <w:r>
        <w:t>91</w:t>
      </w:r>
      <w:r>
        <w:rPr>
          <w:vertAlign w:val="superscript"/>
        </w:rPr>
        <w:t>1</w:t>
      </w:r>
      <w:r>
        <w:t>. Viešosios įstaigos pateikia Registro tvarkytojui viešosios įstai</w:t>
      </w:r>
      <w:r>
        <w:t>gos veiklos ataskaitą ne vėliau kaip per 5 darbo dienas nuo eilinio visuotinio dalininkų susirinkimo.“</w:t>
      </w:r>
    </w:p>
    <w:p w14:paraId="69D24B8F" w14:textId="77777777" w:rsidR="00A669F9" w:rsidRDefault="00593EA1">
      <w:pPr>
        <w:ind w:firstLine="567"/>
        <w:jc w:val="both"/>
      </w:pPr>
      <w:r>
        <w:t>1.2.4</w:t>
      </w:r>
      <w:r>
        <w:t>. Išdėstyti 116.2 punktą taip:</w:t>
      </w:r>
    </w:p>
    <w:p w14:paraId="69D24B90" w14:textId="77777777" w:rsidR="00A669F9" w:rsidRDefault="00593EA1">
      <w:pPr>
        <w:ind w:firstLine="567"/>
        <w:jc w:val="both"/>
      </w:pPr>
      <w:r>
        <w:t>„</w:t>
      </w:r>
      <w:r>
        <w:t>116.2</w:t>
      </w:r>
      <w:r>
        <w:t>. reorganizavimo sąlygas, jungimosi sąlygas, jungimo sąlygų projektą ar steigimo sąlygų projektą; užd</w:t>
      </w:r>
      <w:r>
        <w:t>aroji akcinė bendrovė, akcinė bendrovė ar ribotos atsakomybės bendrovė kartu su reorganizavimo ar jungimosi sąlygomis gali pateikti savo interneto svetainės, kurioje skelbiamos reorganizavimo ar jungimosi sąlygos, nuorodą, suteikiančią prieigą prie šių reo</w:t>
      </w:r>
      <w:r>
        <w:t>rganizavimo ar jungimosi sąlygų ir jų paskelbimo interneto svetainėje datos;“.</w:t>
      </w:r>
    </w:p>
    <w:p w14:paraId="69D24B91" w14:textId="77777777" w:rsidR="00A669F9" w:rsidRDefault="00593EA1">
      <w:pPr>
        <w:ind w:firstLine="567"/>
        <w:jc w:val="both"/>
      </w:pPr>
      <w:r>
        <w:t>1.2.5</w:t>
      </w:r>
      <w:r>
        <w:t>. Papildyti nuostatus 158</w:t>
      </w:r>
      <w:r>
        <w:rPr>
          <w:vertAlign w:val="superscript"/>
        </w:rPr>
        <w:t>4</w:t>
      </w:r>
      <w:r>
        <w:t xml:space="preserve"> punktu:</w:t>
      </w:r>
    </w:p>
    <w:p w14:paraId="69D24B92" w14:textId="77777777" w:rsidR="00A669F9" w:rsidRDefault="00593EA1">
      <w:pPr>
        <w:ind w:firstLine="567"/>
        <w:jc w:val="both"/>
      </w:pPr>
      <w:r>
        <w:t>„</w:t>
      </w:r>
      <w:r>
        <w:t>158</w:t>
      </w:r>
      <w:r>
        <w:rPr>
          <w:vertAlign w:val="superscript"/>
        </w:rPr>
        <w:t>4</w:t>
      </w:r>
      <w:r>
        <w:t xml:space="preserve">. Šių Nuostatų 164.1–164.14 ir 165 punktuose nurodyti duomenys ir informacija 20 kalendorinių dienų skelbiama </w:t>
      </w:r>
      <w:r>
        <w:t>neatlygintinai, o informacija apie gautas reorganizavimo ar jungimosi sąlygas ar informacija, nurodyta Nuostatų 164.15 punkte, skelbiama neatlygintinai iki uždarosios akcinės bendrovės ar akcinės bendrovės reorganizavimo pabaigos ar ribotos atsakomybės ben</w:t>
      </w:r>
      <w:r>
        <w:t>drovės jungimosi užbaigimo.“</w:t>
      </w:r>
    </w:p>
    <w:p w14:paraId="69D24B93" w14:textId="77777777" w:rsidR="00A669F9" w:rsidRDefault="00593EA1">
      <w:pPr>
        <w:ind w:firstLine="567"/>
        <w:jc w:val="both"/>
      </w:pPr>
      <w:r>
        <w:t>1.2.6</w:t>
      </w:r>
      <w:r>
        <w:t>. Įrašyti 164 punkto pirmojoje pastraipoje po žodžių „duomenys“ žodžius „ir informacija“.</w:t>
      </w:r>
    </w:p>
    <w:p w14:paraId="69D24B94" w14:textId="77777777" w:rsidR="00A669F9" w:rsidRDefault="00593EA1">
      <w:pPr>
        <w:ind w:firstLine="567"/>
        <w:jc w:val="both"/>
      </w:pPr>
      <w:r>
        <w:t>1.2.7</w:t>
      </w:r>
      <w:r>
        <w:t>. Papildyti nuostatus 164.15 punktu:</w:t>
      </w:r>
    </w:p>
    <w:p w14:paraId="69D24B95" w14:textId="77777777" w:rsidR="00A669F9" w:rsidRDefault="00593EA1">
      <w:pPr>
        <w:ind w:firstLine="567"/>
        <w:jc w:val="both"/>
      </w:pPr>
      <w:r>
        <w:t>„</w:t>
      </w:r>
      <w:r>
        <w:t>164.15</w:t>
      </w:r>
      <w:r>
        <w:t xml:space="preserve">. interneto svetainės nuoroda, kai uždaroji akcinė bendrovė, akcinė </w:t>
      </w:r>
      <w:r>
        <w:t>bendrovė ar ribotos atsakomybės bendrovė kartu su reorganizavimo ar jungimosi sąlygomis pateikia savo interneto svetainės, kurioje paskelbė reorganizavimo ar jungimosi sąlygas ir jų paskelbimo interneto svetainėje datą, nuorodą.“</w:t>
      </w:r>
    </w:p>
    <w:p w14:paraId="69D24B96" w14:textId="77777777" w:rsidR="00A669F9" w:rsidRDefault="00593EA1">
      <w:pPr>
        <w:ind w:firstLine="567"/>
        <w:jc w:val="both"/>
      </w:pPr>
      <w:r>
        <w:t>2</w:t>
      </w:r>
      <w:r>
        <w:t>. Šio nutarim</w:t>
      </w:r>
      <w:r>
        <w:t>o 1.2.1, 1.2.2 ir 1.2.3 punktai įsigalioja 2011 m. lapkričio 1 dieną.</w:t>
      </w:r>
    </w:p>
    <w:p w14:paraId="69D24B97" w14:textId="77777777" w:rsidR="00A669F9" w:rsidRDefault="00A669F9">
      <w:pPr>
        <w:jc w:val="both"/>
      </w:pPr>
    </w:p>
    <w:p w14:paraId="203AE5E8" w14:textId="77777777" w:rsidR="00593EA1" w:rsidRDefault="00593EA1">
      <w:pPr>
        <w:jc w:val="both"/>
      </w:pPr>
    </w:p>
    <w:p w14:paraId="69D24B98" w14:textId="77777777" w:rsidR="00A669F9" w:rsidRDefault="00593EA1">
      <w:pPr>
        <w:jc w:val="both"/>
      </w:pPr>
    </w:p>
    <w:p w14:paraId="69D24B99" w14:textId="2C0FEEA3" w:rsidR="00A669F9" w:rsidRDefault="00593EA1">
      <w:pPr>
        <w:tabs>
          <w:tab w:val="right" w:pos="9071"/>
        </w:tabs>
      </w:pPr>
      <w:r>
        <w:t>MINISTRAS PIRMININKAS</w:t>
      </w:r>
      <w:r>
        <w:tab/>
        <w:t>ANDRIUS KUBILIUS</w:t>
      </w:r>
    </w:p>
    <w:p w14:paraId="69D24B9A" w14:textId="77777777" w:rsidR="00A669F9" w:rsidRDefault="00A669F9"/>
    <w:p w14:paraId="0E92B520" w14:textId="77777777" w:rsidR="00593EA1" w:rsidRDefault="00593EA1"/>
    <w:p w14:paraId="2D3B36D0" w14:textId="77777777" w:rsidR="00593EA1" w:rsidRDefault="00593EA1">
      <w:bookmarkStart w:id="0" w:name="_GoBack"/>
      <w:bookmarkEnd w:id="0"/>
    </w:p>
    <w:p w14:paraId="69D24B9B" w14:textId="77777777" w:rsidR="00A669F9" w:rsidRDefault="00593EA1">
      <w:pPr>
        <w:tabs>
          <w:tab w:val="right" w:pos="9071"/>
        </w:tabs>
      </w:pPr>
      <w:r>
        <w:t>TEISINGUMO MINISTRAS</w:t>
      </w:r>
      <w:r>
        <w:tab/>
        <w:t>REMIGIJUS ŠIMAŠIUS</w:t>
      </w:r>
    </w:p>
    <w:p w14:paraId="69D24B9C" w14:textId="4DF4BF76" w:rsidR="00A669F9" w:rsidRDefault="00A669F9"/>
    <w:p w14:paraId="69D24B9D" w14:textId="226F3B19" w:rsidR="00A669F9" w:rsidRDefault="00593EA1">
      <w:pPr>
        <w:jc w:val="center"/>
      </w:pPr>
    </w:p>
    <w:sectPr w:rsidR="00A669F9">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4BA1" w14:textId="77777777" w:rsidR="00A669F9" w:rsidRDefault="00593EA1">
      <w:r>
        <w:separator/>
      </w:r>
    </w:p>
  </w:endnote>
  <w:endnote w:type="continuationSeparator" w:id="0">
    <w:p w14:paraId="69D24BA2" w14:textId="77777777" w:rsidR="00A669F9" w:rsidRDefault="0059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4BA7" w14:textId="77777777" w:rsidR="00A669F9" w:rsidRDefault="00A669F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4BA8" w14:textId="77777777" w:rsidR="00A669F9" w:rsidRDefault="00A669F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4BAA" w14:textId="77777777" w:rsidR="00A669F9" w:rsidRDefault="00A669F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24B9F" w14:textId="77777777" w:rsidR="00A669F9" w:rsidRDefault="00593EA1">
      <w:r>
        <w:separator/>
      </w:r>
    </w:p>
  </w:footnote>
  <w:footnote w:type="continuationSeparator" w:id="0">
    <w:p w14:paraId="69D24BA0" w14:textId="77777777" w:rsidR="00A669F9" w:rsidRDefault="0059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4BA3" w14:textId="77777777" w:rsidR="00A669F9" w:rsidRDefault="00593EA1">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69D24BA4" w14:textId="77777777" w:rsidR="00A669F9" w:rsidRDefault="00A669F9">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4BA5" w14:textId="77777777" w:rsidR="00A669F9" w:rsidRDefault="00593EA1">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noProof/>
        <w:sz w:val="22"/>
      </w:rPr>
      <w:t>2</w:t>
    </w:r>
    <w:r>
      <w:rPr>
        <w:sz w:val="22"/>
      </w:rPr>
      <w:fldChar w:fldCharType="end"/>
    </w:r>
  </w:p>
  <w:p w14:paraId="69D24BA6" w14:textId="77777777" w:rsidR="00A669F9" w:rsidRDefault="00A669F9">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4BA9" w14:textId="77777777" w:rsidR="00A669F9" w:rsidRDefault="00A669F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93EA1"/>
    <w:rsid w:val="00A669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9D2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3E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93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E302593CE80"/>
  <Relationship Id="rId11" Type="http://schemas.openxmlformats.org/officeDocument/2006/relationships/hyperlink" TargetMode="External" Target="https://www.e-tar.lt/portal/lt/legalAct/TAR.284295061F11"/>
  <Relationship Id="rId12" Type="http://schemas.openxmlformats.org/officeDocument/2006/relationships/hyperlink" TargetMode="External" Target="https://www.e-tar.lt/portal/lt/legalAct/TAR.56C33B1E1FA2"/>
  <Relationship Id="rId13" Type="http://schemas.openxmlformats.org/officeDocument/2006/relationships/hyperlink" TargetMode="External" Target="https://www.e-tar.lt/portal/lt/legalAct/TAR.237D986687CF"/>
  <Relationship Id="rId14" Type="http://schemas.openxmlformats.org/officeDocument/2006/relationships/hyperlink" TargetMode="External" Target="https://www.e-tar.lt/portal/lt/legalAct/TAR.054358E99714"/>
  <Relationship Id="rId15" Type="http://schemas.openxmlformats.org/officeDocument/2006/relationships/hyperlink" TargetMode="External" Target="https://www.e-tar.lt/portal/lt/legalAct/TAR.08D593FE5D2C"/>
  <Relationship Id="rId16" Type="http://schemas.openxmlformats.org/officeDocument/2006/relationships/hyperlink" TargetMode="External" Target="https://www.e-tar.lt/portal/lt/legalAct/TAR.8A39C83848CB"/>
  <Relationship Id="rId17" Type="http://schemas.openxmlformats.org/officeDocument/2006/relationships/hyperlink" TargetMode="External" Target="https://www.e-tar.lt/portal/lt/legalAct/TAR.5735E146A232"/>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AD"/>
    <w:rsid w:val="00C26A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6A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6A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4602</Words>
  <Characters>2624</Characters>
  <Application>Microsoft Office Word</Application>
  <DocSecurity>0</DocSecurity>
  <Lines>21</Lines>
  <Paragraphs>14</Paragraphs>
  <ScaleCrop>false</ScaleCrop>
  <Company>LRVK</Company>
  <LinksUpToDate>false</LinksUpToDate>
  <CharactersWithSpaces>7212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2015-09-25T01:16:00Z</dcterms:created>
  <dc:creator>lrvk</dc:creator>
  <lastModifiedBy>BODIN Aušra</lastModifiedBy>
  <lastPrinted>2011-10-18T11:55:00Z</lastPrinted>
  <dcterms:modified xsi:type="dcterms:W3CDTF">2017-10-19T11:44:00Z</dcterms:modified>
  <revision>3</revision>
  <dc:title>DĖL LIETUVOS RESPUBLIKOS VYRIAUSYBĖS 2003 M</dc:title>
</coreProperties>
</file>