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3583" w14:textId="77777777" w:rsidR="0072589A" w:rsidRDefault="00B4285A">
      <w:pPr>
        <w:keepLines/>
        <w:widowControl w:val="0"/>
        <w:suppressAutoHyphens/>
        <w:jc w:val="center"/>
        <w:rPr>
          <w:color w:val="000000"/>
        </w:rPr>
      </w:pPr>
      <w:r>
        <w:rPr>
          <w:color w:val="000000"/>
          <w:lang w:val="en-US"/>
        </w:rPr>
        <w:pict w14:anchorId="7ED535F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FINANSŲ MINISTRO</w:t>
      </w:r>
    </w:p>
    <w:p w14:paraId="7ED53584" w14:textId="77777777" w:rsidR="0072589A" w:rsidRDefault="00B4285A">
      <w:pPr>
        <w:keepLines/>
        <w:widowControl w:val="0"/>
        <w:suppressAutoHyphens/>
        <w:jc w:val="center"/>
        <w:rPr>
          <w:color w:val="000000"/>
        </w:rPr>
      </w:pPr>
      <w:r>
        <w:rPr>
          <w:color w:val="000000"/>
        </w:rPr>
        <w:t>Į S A K Y M A S</w:t>
      </w:r>
    </w:p>
    <w:p w14:paraId="7ED53585" w14:textId="77777777" w:rsidR="0072589A" w:rsidRDefault="0072589A">
      <w:pPr>
        <w:widowControl w:val="0"/>
        <w:suppressAutoHyphens/>
        <w:jc w:val="center"/>
        <w:rPr>
          <w:color w:val="000000"/>
        </w:rPr>
      </w:pPr>
    </w:p>
    <w:p w14:paraId="7ED53586" w14:textId="77777777" w:rsidR="0072589A" w:rsidRDefault="00B4285A">
      <w:pPr>
        <w:keepLines/>
        <w:widowControl w:val="0"/>
        <w:suppressAutoHyphens/>
        <w:jc w:val="center"/>
        <w:rPr>
          <w:b/>
          <w:bCs/>
          <w:caps/>
          <w:color w:val="000000"/>
        </w:rPr>
      </w:pPr>
      <w:r>
        <w:rPr>
          <w:b/>
          <w:bCs/>
          <w:caps/>
          <w:color w:val="000000"/>
        </w:rPr>
        <w:t xml:space="preserve">DĖL FINANSŲ MINISTRO 2003 M. LIEPOS 3 D. ĮSAKYMO Nr. 1K-184 </w:t>
      </w:r>
    </w:p>
    <w:p w14:paraId="7ED53587" w14:textId="77777777" w:rsidR="0072589A" w:rsidRDefault="00B4285A">
      <w:pPr>
        <w:keepLines/>
        <w:widowControl w:val="0"/>
        <w:suppressAutoHyphens/>
        <w:jc w:val="center"/>
        <w:rPr>
          <w:b/>
          <w:bCs/>
          <w:caps/>
          <w:color w:val="000000"/>
        </w:rPr>
      </w:pPr>
      <w:r>
        <w:rPr>
          <w:b/>
          <w:bCs/>
          <w:caps/>
          <w:color w:val="000000"/>
        </w:rPr>
        <w:t>„DĖL Lietuvos Respublikos valstybės ir savivaldybių biudžetų pajamų ir išlaidų klasifikacijos patvirtinim</w:t>
      </w:r>
      <w:r>
        <w:rPr>
          <w:b/>
          <w:bCs/>
          <w:caps/>
          <w:color w:val="000000"/>
        </w:rPr>
        <w:t>o“ PAKEITIMO</w:t>
      </w:r>
    </w:p>
    <w:p w14:paraId="7ED53588" w14:textId="77777777" w:rsidR="0072589A" w:rsidRDefault="0072589A">
      <w:pPr>
        <w:widowControl w:val="0"/>
        <w:suppressAutoHyphens/>
        <w:jc w:val="center"/>
        <w:rPr>
          <w:color w:val="000000"/>
        </w:rPr>
      </w:pPr>
    </w:p>
    <w:p w14:paraId="7ED53589" w14:textId="77777777" w:rsidR="0072589A" w:rsidRDefault="00B4285A">
      <w:pPr>
        <w:keepLines/>
        <w:widowControl w:val="0"/>
        <w:suppressAutoHyphens/>
        <w:jc w:val="center"/>
        <w:rPr>
          <w:color w:val="000000"/>
        </w:rPr>
      </w:pPr>
      <w:r>
        <w:rPr>
          <w:color w:val="000000"/>
        </w:rPr>
        <w:t>2010 m. gruodžio 31 d. Nr. 1K-417</w:t>
      </w:r>
    </w:p>
    <w:p w14:paraId="7ED5358A" w14:textId="77777777" w:rsidR="0072589A" w:rsidRDefault="00B4285A">
      <w:pPr>
        <w:keepLines/>
        <w:widowControl w:val="0"/>
        <w:suppressAutoHyphens/>
        <w:jc w:val="center"/>
        <w:rPr>
          <w:color w:val="000000"/>
        </w:rPr>
      </w:pPr>
      <w:r>
        <w:rPr>
          <w:color w:val="000000"/>
        </w:rPr>
        <w:t>Vilnius</w:t>
      </w:r>
    </w:p>
    <w:p w14:paraId="7ED5358B" w14:textId="77777777" w:rsidR="0072589A" w:rsidRDefault="0072589A">
      <w:pPr>
        <w:widowControl w:val="0"/>
        <w:suppressAutoHyphens/>
        <w:jc w:val="center"/>
        <w:rPr>
          <w:color w:val="000000"/>
        </w:rPr>
      </w:pPr>
    </w:p>
    <w:bookmarkStart w:id="0" w:name="_GoBack" w:displacedByCustomXml="prev"/>
    <w:p w14:paraId="7ED5358C" w14:textId="77777777" w:rsidR="0072589A" w:rsidRDefault="00B4285A">
      <w:pPr>
        <w:widowControl w:val="0"/>
        <w:suppressAutoHyphens/>
        <w:ind w:firstLine="567"/>
        <w:jc w:val="both"/>
        <w:rPr>
          <w:color w:val="000000"/>
        </w:rPr>
      </w:pPr>
      <w:r>
        <w:rPr>
          <w:color w:val="000000"/>
        </w:rPr>
        <w:t xml:space="preserve">P a k e i č i u Lietuvos Respublikos valstybės ir savivaldybių biudžetų pajamų ir išlaidų klasifikaciją, patvirtintą Lietuvos Respublikos finansų ministro 2003 m. liepos 3 d. įsakymu Nr. 1K-184 „Dėl </w:t>
      </w:r>
      <w:r>
        <w:rPr>
          <w:color w:val="000000"/>
        </w:rPr>
        <w:t xml:space="preserve">Lietuvos Respublikos valstybės ir savivaldybių biudžetų pajamų ir išlaidų klasifikacijos patvirtinimo“ (Žin., 2003, Nr. </w:t>
      </w:r>
      <w:hyperlink r:id="rId10" w:tgtFrame="_blank" w:history="1">
        <w:r>
          <w:rPr>
            <w:color w:val="0000FF" w:themeColor="hyperlink"/>
            <w:u w:val="single"/>
          </w:rPr>
          <w:t>69-3135</w:t>
        </w:r>
      </w:hyperlink>
      <w:r>
        <w:rPr>
          <w:color w:val="000000"/>
        </w:rPr>
        <w:t xml:space="preserve">; 2010, Nr. </w:t>
      </w:r>
      <w:hyperlink r:id="rId11" w:tgtFrame="_blank" w:history="1">
        <w:r>
          <w:rPr>
            <w:color w:val="0000FF" w:themeColor="hyperlink"/>
            <w:u w:val="single"/>
          </w:rPr>
          <w:t>36-1732</w:t>
        </w:r>
      </w:hyperlink>
      <w:r>
        <w:rPr>
          <w:color w:val="000000"/>
        </w:rPr>
        <w:t>):</w:t>
      </w:r>
    </w:p>
    <w:bookmarkEnd w:id="0" w:displacedByCustomXml="next"/>
    <w:p w14:paraId="7ED5358D" w14:textId="77777777" w:rsidR="0072589A" w:rsidRDefault="00B4285A">
      <w:pPr>
        <w:widowControl w:val="0"/>
        <w:suppressAutoHyphens/>
        <w:ind w:firstLine="567"/>
        <w:jc w:val="both"/>
        <w:rPr>
          <w:color w:val="000000"/>
        </w:rPr>
      </w:pPr>
      <w:r>
        <w:rPr>
          <w:color w:val="000000"/>
        </w:rPr>
        <w:t>1</w:t>
      </w:r>
      <w:r>
        <w:rPr>
          <w:color w:val="000000"/>
        </w:rPr>
        <w:t>. Išdėstau II skyriaus „Valstybės ir savivaldybių biudžetų išlaidų ekonominė klasifikacija“ pastraipą „2.2 Prekių ir paslaugų naudojimas“ taip:</w:t>
      </w:r>
    </w:p>
    <w:tbl>
      <w:tblPr>
        <w:tblW w:w="9070" w:type="dxa"/>
        <w:tblLook w:val="01E0" w:firstRow="1" w:lastRow="1" w:firstColumn="1" w:lastColumn="1" w:noHBand="0" w:noVBand="0"/>
      </w:tblPr>
      <w:tblGrid>
        <w:gridCol w:w="3468"/>
        <w:gridCol w:w="5602"/>
      </w:tblGrid>
      <w:tr w:rsidR="0072589A" w14:paraId="7ED53590" w14:textId="77777777">
        <w:tc>
          <w:tcPr>
            <w:tcW w:w="3468" w:type="dxa"/>
          </w:tcPr>
          <w:p w14:paraId="7ED5358E" w14:textId="77777777" w:rsidR="0072589A" w:rsidRDefault="00B4285A">
            <w:pPr>
              <w:widowControl w:val="0"/>
              <w:tabs>
                <w:tab w:val="left" w:pos="1640"/>
              </w:tabs>
              <w:suppressAutoHyphens/>
              <w:ind w:firstLine="567"/>
              <w:rPr>
                <w:color w:val="000000"/>
              </w:rPr>
            </w:pPr>
            <w:r>
              <w:rPr>
                <w:color w:val="000000"/>
              </w:rPr>
              <w:t>„2.2.</w:t>
            </w:r>
          </w:p>
        </w:tc>
        <w:tc>
          <w:tcPr>
            <w:tcW w:w="5602" w:type="dxa"/>
          </w:tcPr>
          <w:p w14:paraId="7ED5358F" w14:textId="77777777" w:rsidR="0072589A" w:rsidRDefault="00B4285A">
            <w:pPr>
              <w:widowControl w:val="0"/>
              <w:tabs>
                <w:tab w:val="left" w:pos="1640"/>
              </w:tabs>
              <w:suppressAutoHyphens/>
              <w:rPr>
                <w:color w:val="000000"/>
              </w:rPr>
            </w:pPr>
            <w:r>
              <w:rPr>
                <w:color w:val="000000"/>
              </w:rPr>
              <w:t>Prekių ir paslaugų naudojimas</w:t>
            </w:r>
          </w:p>
        </w:tc>
      </w:tr>
      <w:tr w:rsidR="0072589A" w14:paraId="7ED53593" w14:textId="77777777">
        <w:tc>
          <w:tcPr>
            <w:tcW w:w="3468" w:type="dxa"/>
          </w:tcPr>
          <w:p w14:paraId="7ED53591" w14:textId="77777777" w:rsidR="0072589A" w:rsidRDefault="00B4285A">
            <w:pPr>
              <w:widowControl w:val="0"/>
              <w:tabs>
                <w:tab w:val="left" w:pos="1640"/>
              </w:tabs>
              <w:suppressAutoHyphens/>
              <w:ind w:firstLine="567"/>
              <w:rPr>
                <w:color w:val="000000"/>
              </w:rPr>
            </w:pPr>
            <w:r>
              <w:rPr>
                <w:color w:val="000000"/>
              </w:rPr>
              <w:t>2.2.1.</w:t>
            </w:r>
          </w:p>
        </w:tc>
        <w:tc>
          <w:tcPr>
            <w:tcW w:w="5602" w:type="dxa"/>
          </w:tcPr>
          <w:p w14:paraId="7ED53592" w14:textId="77777777" w:rsidR="0072589A" w:rsidRDefault="00B4285A">
            <w:pPr>
              <w:widowControl w:val="0"/>
              <w:tabs>
                <w:tab w:val="left" w:pos="1640"/>
              </w:tabs>
              <w:suppressAutoHyphens/>
              <w:rPr>
                <w:color w:val="000000"/>
              </w:rPr>
            </w:pPr>
            <w:r>
              <w:rPr>
                <w:color w:val="000000"/>
              </w:rPr>
              <w:t xml:space="preserve">Prekių ir </w:t>
            </w:r>
            <w:r>
              <w:rPr>
                <w:color w:val="000000"/>
              </w:rPr>
              <w:t>paslaugų naudojimas</w:t>
            </w:r>
          </w:p>
        </w:tc>
      </w:tr>
      <w:tr w:rsidR="0072589A" w14:paraId="7ED53596" w14:textId="77777777">
        <w:tc>
          <w:tcPr>
            <w:tcW w:w="3468" w:type="dxa"/>
          </w:tcPr>
          <w:p w14:paraId="7ED53594" w14:textId="77777777" w:rsidR="0072589A" w:rsidRDefault="00B4285A">
            <w:pPr>
              <w:widowControl w:val="0"/>
              <w:tabs>
                <w:tab w:val="left" w:pos="1640"/>
              </w:tabs>
              <w:suppressAutoHyphens/>
              <w:ind w:firstLine="567"/>
              <w:rPr>
                <w:color w:val="000000"/>
              </w:rPr>
            </w:pPr>
            <w:r>
              <w:rPr>
                <w:color w:val="000000"/>
              </w:rPr>
              <w:t>2.2.1.1.</w:t>
            </w:r>
          </w:p>
        </w:tc>
        <w:tc>
          <w:tcPr>
            <w:tcW w:w="5602" w:type="dxa"/>
          </w:tcPr>
          <w:p w14:paraId="7ED53595" w14:textId="77777777" w:rsidR="0072589A" w:rsidRDefault="00B4285A">
            <w:pPr>
              <w:widowControl w:val="0"/>
              <w:tabs>
                <w:tab w:val="left" w:pos="1640"/>
              </w:tabs>
              <w:suppressAutoHyphens/>
              <w:rPr>
                <w:color w:val="000000"/>
              </w:rPr>
            </w:pPr>
            <w:r>
              <w:rPr>
                <w:color w:val="000000"/>
              </w:rPr>
              <w:t>Prekių ir paslaugų naudojimas</w:t>
            </w:r>
          </w:p>
        </w:tc>
      </w:tr>
      <w:tr w:rsidR="0072589A" w14:paraId="7ED53599" w14:textId="77777777">
        <w:tc>
          <w:tcPr>
            <w:tcW w:w="3468" w:type="dxa"/>
          </w:tcPr>
          <w:p w14:paraId="7ED53597" w14:textId="77777777" w:rsidR="0072589A" w:rsidRDefault="00B4285A">
            <w:pPr>
              <w:widowControl w:val="0"/>
              <w:tabs>
                <w:tab w:val="left" w:pos="1640"/>
              </w:tabs>
              <w:suppressAutoHyphens/>
              <w:ind w:firstLine="567"/>
              <w:rPr>
                <w:color w:val="000000"/>
              </w:rPr>
            </w:pPr>
            <w:r>
              <w:rPr>
                <w:color w:val="000000"/>
              </w:rPr>
              <w:t>2.2.1.1.1.</w:t>
            </w:r>
          </w:p>
        </w:tc>
        <w:tc>
          <w:tcPr>
            <w:tcW w:w="5602" w:type="dxa"/>
          </w:tcPr>
          <w:p w14:paraId="7ED53598" w14:textId="77777777" w:rsidR="0072589A" w:rsidRDefault="00B4285A">
            <w:pPr>
              <w:widowControl w:val="0"/>
              <w:tabs>
                <w:tab w:val="left" w:pos="1640"/>
              </w:tabs>
              <w:suppressAutoHyphens/>
              <w:rPr>
                <w:color w:val="000000"/>
              </w:rPr>
            </w:pPr>
            <w:r>
              <w:rPr>
                <w:color w:val="000000"/>
              </w:rPr>
              <w:t>Prekių ir paslaugų naudojimas</w:t>
            </w:r>
          </w:p>
        </w:tc>
      </w:tr>
      <w:tr w:rsidR="0072589A" w14:paraId="7ED5359C" w14:textId="77777777">
        <w:tc>
          <w:tcPr>
            <w:tcW w:w="3468" w:type="dxa"/>
          </w:tcPr>
          <w:p w14:paraId="7ED5359A" w14:textId="77777777" w:rsidR="0072589A" w:rsidRDefault="00B4285A">
            <w:pPr>
              <w:widowControl w:val="0"/>
              <w:tabs>
                <w:tab w:val="left" w:pos="1640"/>
              </w:tabs>
              <w:suppressAutoHyphens/>
              <w:ind w:firstLine="567"/>
              <w:rPr>
                <w:color w:val="000000"/>
              </w:rPr>
            </w:pPr>
            <w:r>
              <w:rPr>
                <w:color w:val="000000"/>
              </w:rPr>
              <w:t>2.2.1.1.1.01.</w:t>
            </w:r>
          </w:p>
        </w:tc>
        <w:tc>
          <w:tcPr>
            <w:tcW w:w="5602" w:type="dxa"/>
          </w:tcPr>
          <w:p w14:paraId="7ED5359B" w14:textId="77777777" w:rsidR="0072589A" w:rsidRDefault="00B4285A">
            <w:pPr>
              <w:widowControl w:val="0"/>
              <w:tabs>
                <w:tab w:val="left" w:pos="1640"/>
              </w:tabs>
              <w:suppressAutoHyphens/>
              <w:rPr>
                <w:color w:val="000000"/>
              </w:rPr>
            </w:pPr>
            <w:r>
              <w:rPr>
                <w:color w:val="000000"/>
              </w:rPr>
              <w:t>Mityba</w:t>
            </w:r>
          </w:p>
        </w:tc>
      </w:tr>
      <w:tr w:rsidR="0072589A" w14:paraId="7ED5359F" w14:textId="77777777">
        <w:tc>
          <w:tcPr>
            <w:tcW w:w="3468" w:type="dxa"/>
          </w:tcPr>
          <w:p w14:paraId="7ED5359D" w14:textId="77777777" w:rsidR="0072589A" w:rsidRDefault="00B4285A">
            <w:pPr>
              <w:widowControl w:val="0"/>
              <w:tabs>
                <w:tab w:val="left" w:pos="1640"/>
              </w:tabs>
              <w:suppressAutoHyphens/>
              <w:ind w:firstLine="567"/>
              <w:rPr>
                <w:color w:val="000000"/>
              </w:rPr>
            </w:pPr>
            <w:r>
              <w:rPr>
                <w:color w:val="000000"/>
              </w:rPr>
              <w:t>2.2.1.1.1.02.</w:t>
            </w:r>
          </w:p>
        </w:tc>
        <w:tc>
          <w:tcPr>
            <w:tcW w:w="5602" w:type="dxa"/>
          </w:tcPr>
          <w:p w14:paraId="7ED5359E" w14:textId="77777777" w:rsidR="0072589A" w:rsidRDefault="00B4285A">
            <w:pPr>
              <w:widowControl w:val="0"/>
              <w:tabs>
                <w:tab w:val="left" w:pos="1640"/>
              </w:tabs>
              <w:suppressAutoHyphens/>
              <w:rPr>
                <w:color w:val="000000"/>
              </w:rPr>
            </w:pPr>
            <w:r>
              <w:rPr>
                <w:color w:val="000000"/>
              </w:rPr>
              <w:t>Medikamentai (ir darbuotojų sveikatos tikrinimas)</w:t>
            </w:r>
          </w:p>
        </w:tc>
      </w:tr>
      <w:tr w:rsidR="0072589A" w14:paraId="7ED535A2" w14:textId="77777777">
        <w:tc>
          <w:tcPr>
            <w:tcW w:w="3468" w:type="dxa"/>
          </w:tcPr>
          <w:p w14:paraId="7ED535A0" w14:textId="77777777" w:rsidR="0072589A" w:rsidRDefault="00B4285A">
            <w:pPr>
              <w:widowControl w:val="0"/>
              <w:tabs>
                <w:tab w:val="left" w:pos="1640"/>
              </w:tabs>
              <w:suppressAutoHyphens/>
              <w:ind w:firstLine="567"/>
              <w:rPr>
                <w:color w:val="000000"/>
              </w:rPr>
            </w:pPr>
            <w:r>
              <w:rPr>
                <w:color w:val="000000"/>
              </w:rPr>
              <w:t>2.2.1.1.1.05.</w:t>
            </w:r>
          </w:p>
        </w:tc>
        <w:tc>
          <w:tcPr>
            <w:tcW w:w="5602" w:type="dxa"/>
          </w:tcPr>
          <w:p w14:paraId="7ED535A1" w14:textId="77777777" w:rsidR="0072589A" w:rsidRDefault="00B4285A">
            <w:pPr>
              <w:widowControl w:val="0"/>
              <w:tabs>
                <w:tab w:val="left" w:pos="1640"/>
              </w:tabs>
              <w:suppressAutoHyphens/>
              <w:rPr>
                <w:color w:val="000000"/>
              </w:rPr>
            </w:pPr>
            <w:r>
              <w:rPr>
                <w:color w:val="000000"/>
              </w:rPr>
              <w:t>Ryšių paslaugos</w:t>
            </w:r>
          </w:p>
        </w:tc>
      </w:tr>
      <w:tr w:rsidR="0072589A" w14:paraId="7ED535A5" w14:textId="77777777">
        <w:tc>
          <w:tcPr>
            <w:tcW w:w="3468" w:type="dxa"/>
          </w:tcPr>
          <w:p w14:paraId="7ED535A3" w14:textId="77777777" w:rsidR="0072589A" w:rsidRDefault="00B4285A">
            <w:pPr>
              <w:widowControl w:val="0"/>
              <w:tabs>
                <w:tab w:val="left" w:pos="1640"/>
              </w:tabs>
              <w:suppressAutoHyphens/>
              <w:ind w:firstLine="567"/>
              <w:rPr>
                <w:color w:val="000000"/>
              </w:rPr>
            </w:pPr>
            <w:r>
              <w:rPr>
                <w:color w:val="000000"/>
              </w:rPr>
              <w:t>2.2.1.1.1.06.</w:t>
            </w:r>
          </w:p>
        </w:tc>
        <w:tc>
          <w:tcPr>
            <w:tcW w:w="5602" w:type="dxa"/>
          </w:tcPr>
          <w:p w14:paraId="7ED535A4" w14:textId="77777777" w:rsidR="0072589A" w:rsidRDefault="00B4285A">
            <w:pPr>
              <w:widowControl w:val="0"/>
              <w:tabs>
                <w:tab w:val="left" w:pos="1640"/>
              </w:tabs>
              <w:suppressAutoHyphens/>
              <w:rPr>
                <w:color w:val="000000"/>
              </w:rPr>
            </w:pPr>
            <w:r>
              <w:rPr>
                <w:color w:val="000000"/>
              </w:rPr>
              <w:t>Transporto išlaikymas</w:t>
            </w:r>
          </w:p>
        </w:tc>
      </w:tr>
      <w:tr w:rsidR="0072589A" w14:paraId="7ED535A8" w14:textId="77777777">
        <w:tc>
          <w:tcPr>
            <w:tcW w:w="3468" w:type="dxa"/>
          </w:tcPr>
          <w:p w14:paraId="7ED535A6" w14:textId="77777777" w:rsidR="0072589A" w:rsidRDefault="00B4285A">
            <w:pPr>
              <w:widowControl w:val="0"/>
              <w:tabs>
                <w:tab w:val="left" w:pos="1640"/>
              </w:tabs>
              <w:suppressAutoHyphens/>
              <w:ind w:firstLine="567"/>
              <w:rPr>
                <w:color w:val="000000"/>
              </w:rPr>
            </w:pPr>
            <w:r>
              <w:rPr>
                <w:color w:val="000000"/>
              </w:rPr>
              <w:t>2.2.1.1.1.07.</w:t>
            </w:r>
          </w:p>
        </w:tc>
        <w:tc>
          <w:tcPr>
            <w:tcW w:w="5602" w:type="dxa"/>
          </w:tcPr>
          <w:p w14:paraId="7ED535A7" w14:textId="77777777" w:rsidR="0072589A" w:rsidRDefault="00B4285A">
            <w:pPr>
              <w:widowControl w:val="0"/>
              <w:tabs>
                <w:tab w:val="left" w:pos="1640"/>
              </w:tabs>
              <w:suppressAutoHyphens/>
              <w:rPr>
                <w:color w:val="000000"/>
              </w:rPr>
            </w:pPr>
            <w:r>
              <w:rPr>
                <w:color w:val="000000"/>
              </w:rPr>
              <w:t>Apranga ir patalynė</w:t>
            </w:r>
          </w:p>
        </w:tc>
      </w:tr>
      <w:tr w:rsidR="0072589A" w14:paraId="7ED535AB" w14:textId="77777777">
        <w:tc>
          <w:tcPr>
            <w:tcW w:w="3468" w:type="dxa"/>
          </w:tcPr>
          <w:p w14:paraId="7ED535A9" w14:textId="77777777" w:rsidR="0072589A" w:rsidRDefault="00B4285A">
            <w:pPr>
              <w:widowControl w:val="0"/>
              <w:tabs>
                <w:tab w:val="left" w:pos="1640"/>
              </w:tabs>
              <w:suppressAutoHyphens/>
              <w:ind w:firstLine="567"/>
              <w:rPr>
                <w:color w:val="000000"/>
              </w:rPr>
            </w:pPr>
            <w:r>
              <w:rPr>
                <w:color w:val="000000"/>
              </w:rPr>
              <w:t>2.2.1.1.1.08.</w:t>
            </w:r>
          </w:p>
        </w:tc>
        <w:tc>
          <w:tcPr>
            <w:tcW w:w="5602" w:type="dxa"/>
          </w:tcPr>
          <w:p w14:paraId="7ED535AA" w14:textId="77777777" w:rsidR="0072589A" w:rsidRDefault="00B4285A">
            <w:pPr>
              <w:widowControl w:val="0"/>
              <w:tabs>
                <w:tab w:val="left" w:pos="1640"/>
              </w:tabs>
              <w:suppressAutoHyphens/>
              <w:rPr>
                <w:color w:val="000000"/>
              </w:rPr>
            </w:pPr>
            <w:r>
              <w:rPr>
                <w:color w:val="000000"/>
              </w:rPr>
              <w:t>Spaudiniai</w:t>
            </w:r>
          </w:p>
        </w:tc>
      </w:tr>
      <w:tr w:rsidR="0072589A" w14:paraId="7ED535AE" w14:textId="77777777">
        <w:tc>
          <w:tcPr>
            <w:tcW w:w="3468" w:type="dxa"/>
          </w:tcPr>
          <w:p w14:paraId="7ED535AC" w14:textId="77777777" w:rsidR="0072589A" w:rsidRDefault="00B4285A">
            <w:pPr>
              <w:widowControl w:val="0"/>
              <w:tabs>
                <w:tab w:val="left" w:pos="1640"/>
              </w:tabs>
              <w:suppressAutoHyphens/>
              <w:ind w:firstLine="567"/>
              <w:rPr>
                <w:color w:val="000000"/>
              </w:rPr>
            </w:pPr>
            <w:r>
              <w:rPr>
                <w:color w:val="000000"/>
              </w:rPr>
              <w:t>2.2.1.1.1.09.</w:t>
            </w:r>
          </w:p>
        </w:tc>
        <w:tc>
          <w:tcPr>
            <w:tcW w:w="5602" w:type="dxa"/>
          </w:tcPr>
          <w:p w14:paraId="7ED535AD" w14:textId="77777777" w:rsidR="0072589A" w:rsidRDefault="00B4285A">
            <w:pPr>
              <w:widowControl w:val="0"/>
              <w:tabs>
                <w:tab w:val="left" w:pos="1640"/>
              </w:tabs>
              <w:suppressAutoHyphens/>
              <w:rPr>
                <w:color w:val="000000"/>
              </w:rPr>
            </w:pPr>
            <w:r>
              <w:rPr>
                <w:color w:val="000000"/>
              </w:rPr>
              <w:t>Ginklai ir karinė įranga</w:t>
            </w:r>
          </w:p>
        </w:tc>
      </w:tr>
      <w:tr w:rsidR="0072589A" w14:paraId="7ED535B1" w14:textId="77777777">
        <w:tc>
          <w:tcPr>
            <w:tcW w:w="3468" w:type="dxa"/>
          </w:tcPr>
          <w:p w14:paraId="7ED535AF" w14:textId="77777777" w:rsidR="0072589A" w:rsidRDefault="00B4285A">
            <w:pPr>
              <w:widowControl w:val="0"/>
              <w:tabs>
                <w:tab w:val="left" w:pos="1640"/>
              </w:tabs>
              <w:suppressAutoHyphens/>
              <w:ind w:firstLine="567"/>
              <w:rPr>
                <w:color w:val="000000"/>
              </w:rPr>
            </w:pPr>
            <w:r>
              <w:rPr>
                <w:color w:val="000000"/>
              </w:rPr>
              <w:t>2.2.1.1.1.10.</w:t>
            </w:r>
          </w:p>
        </w:tc>
        <w:tc>
          <w:tcPr>
            <w:tcW w:w="5602" w:type="dxa"/>
          </w:tcPr>
          <w:p w14:paraId="7ED535B0" w14:textId="77777777" w:rsidR="0072589A" w:rsidRDefault="00B4285A">
            <w:pPr>
              <w:widowControl w:val="0"/>
              <w:tabs>
                <w:tab w:val="left" w:pos="1640"/>
              </w:tabs>
              <w:suppressAutoHyphens/>
              <w:rPr>
                <w:color w:val="000000"/>
              </w:rPr>
            </w:pPr>
            <w:r>
              <w:rPr>
                <w:color w:val="000000"/>
              </w:rPr>
              <w:t>Kitos prekės</w:t>
            </w:r>
          </w:p>
        </w:tc>
      </w:tr>
      <w:tr w:rsidR="0072589A" w14:paraId="7ED535B4" w14:textId="77777777">
        <w:tc>
          <w:tcPr>
            <w:tcW w:w="3468" w:type="dxa"/>
          </w:tcPr>
          <w:p w14:paraId="7ED535B2" w14:textId="77777777" w:rsidR="0072589A" w:rsidRDefault="00B4285A">
            <w:pPr>
              <w:widowControl w:val="0"/>
              <w:tabs>
                <w:tab w:val="left" w:pos="1640"/>
              </w:tabs>
              <w:suppressAutoHyphens/>
              <w:ind w:firstLine="567"/>
              <w:rPr>
                <w:color w:val="000000"/>
              </w:rPr>
            </w:pPr>
            <w:r>
              <w:rPr>
                <w:color w:val="000000"/>
              </w:rPr>
              <w:t>2.2.1.1.1.11.</w:t>
            </w:r>
          </w:p>
        </w:tc>
        <w:tc>
          <w:tcPr>
            <w:tcW w:w="5602" w:type="dxa"/>
          </w:tcPr>
          <w:p w14:paraId="7ED535B3" w14:textId="77777777" w:rsidR="0072589A" w:rsidRDefault="00B4285A">
            <w:pPr>
              <w:widowControl w:val="0"/>
              <w:tabs>
                <w:tab w:val="left" w:pos="1640"/>
              </w:tabs>
              <w:suppressAutoHyphens/>
              <w:rPr>
                <w:color w:val="000000"/>
              </w:rPr>
            </w:pPr>
            <w:r>
              <w:rPr>
                <w:color w:val="000000"/>
              </w:rPr>
              <w:t>Komandiruotės (transporto, apgyvendinimo, ryšio ir kitos komandiruotės išlaidos)</w:t>
            </w:r>
          </w:p>
        </w:tc>
      </w:tr>
      <w:tr w:rsidR="0072589A" w14:paraId="7ED535B7" w14:textId="77777777">
        <w:tc>
          <w:tcPr>
            <w:tcW w:w="3468" w:type="dxa"/>
          </w:tcPr>
          <w:p w14:paraId="7ED535B5" w14:textId="77777777" w:rsidR="0072589A" w:rsidRDefault="00B4285A">
            <w:pPr>
              <w:widowControl w:val="0"/>
              <w:tabs>
                <w:tab w:val="left" w:pos="1640"/>
              </w:tabs>
              <w:suppressAutoHyphens/>
              <w:ind w:firstLine="567"/>
              <w:rPr>
                <w:color w:val="000000"/>
              </w:rPr>
            </w:pPr>
            <w:r>
              <w:rPr>
                <w:color w:val="000000"/>
              </w:rPr>
              <w:t>2.2.1.1.1.12.</w:t>
            </w:r>
          </w:p>
        </w:tc>
        <w:tc>
          <w:tcPr>
            <w:tcW w:w="5602" w:type="dxa"/>
          </w:tcPr>
          <w:p w14:paraId="7ED535B6" w14:textId="77777777" w:rsidR="0072589A" w:rsidRDefault="00B4285A">
            <w:pPr>
              <w:widowControl w:val="0"/>
              <w:tabs>
                <w:tab w:val="left" w:pos="1640"/>
              </w:tabs>
              <w:suppressAutoHyphens/>
              <w:rPr>
                <w:color w:val="000000"/>
              </w:rPr>
            </w:pPr>
            <w:r>
              <w:rPr>
                <w:color w:val="000000"/>
              </w:rPr>
              <w:t xml:space="preserve">Miestų ir </w:t>
            </w:r>
            <w:r>
              <w:rPr>
                <w:color w:val="000000"/>
              </w:rPr>
              <w:t>gyvenviečių viešasis ūkis</w:t>
            </w:r>
          </w:p>
        </w:tc>
      </w:tr>
      <w:tr w:rsidR="0072589A" w14:paraId="7ED535BA" w14:textId="77777777">
        <w:tc>
          <w:tcPr>
            <w:tcW w:w="3468" w:type="dxa"/>
          </w:tcPr>
          <w:p w14:paraId="7ED535B8" w14:textId="77777777" w:rsidR="0072589A" w:rsidRDefault="00B4285A">
            <w:pPr>
              <w:widowControl w:val="0"/>
              <w:tabs>
                <w:tab w:val="left" w:pos="1640"/>
              </w:tabs>
              <w:suppressAutoHyphens/>
              <w:ind w:firstLine="567"/>
              <w:rPr>
                <w:color w:val="000000"/>
              </w:rPr>
            </w:pPr>
            <w:r>
              <w:rPr>
                <w:color w:val="000000"/>
              </w:rPr>
              <w:t>2.2.1.1.1.14.</w:t>
            </w:r>
          </w:p>
        </w:tc>
        <w:tc>
          <w:tcPr>
            <w:tcW w:w="5602" w:type="dxa"/>
          </w:tcPr>
          <w:p w14:paraId="7ED535B9" w14:textId="77777777" w:rsidR="0072589A" w:rsidRDefault="00B4285A">
            <w:pPr>
              <w:widowControl w:val="0"/>
              <w:tabs>
                <w:tab w:val="left" w:pos="1640"/>
              </w:tabs>
              <w:suppressAutoHyphens/>
              <w:rPr>
                <w:color w:val="000000"/>
              </w:rPr>
            </w:pPr>
            <w:r>
              <w:rPr>
                <w:color w:val="000000"/>
              </w:rPr>
              <w:t>Ilgalaikio materialiojo ir nematerialiojo turto nuoma</w:t>
            </w:r>
          </w:p>
        </w:tc>
      </w:tr>
      <w:tr w:rsidR="0072589A" w14:paraId="7ED535BD" w14:textId="77777777">
        <w:tc>
          <w:tcPr>
            <w:tcW w:w="3468" w:type="dxa"/>
          </w:tcPr>
          <w:p w14:paraId="7ED535BB" w14:textId="77777777" w:rsidR="0072589A" w:rsidRDefault="00B4285A">
            <w:pPr>
              <w:widowControl w:val="0"/>
              <w:tabs>
                <w:tab w:val="left" w:pos="1640"/>
              </w:tabs>
              <w:suppressAutoHyphens/>
              <w:ind w:firstLine="567"/>
              <w:rPr>
                <w:color w:val="000000"/>
              </w:rPr>
            </w:pPr>
            <w:r>
              <w:rPr>
                <w:color w:val="000000"/>
              </w:rPr>
              <w:t>2.2.1.1.1.15.</w:t>
            </w:r>
          </w:p>
        </w:tc>
        <w:tc>
          <w:tcPr>
            <w:tcW w:w="5602" w:type="dxa"/>
          </w:tcPr>
          <w:p w14:paraId="7ED535BC" w14:textId="77777777" w:rsidR="0072589A" w:rsidRDefault="00B4285A">
            <w:pPr>
              <w:widowControl w:val="0"/>
              <w:tabs>
                <w:tab w:val="left" w:pos="1640"/>
              </w:tabs>
              <w:suppressAutoHyphens/>
              <w:rPr>
                <w:color w:val="000000"/>
              </w:rPr>
            </w:pPr>
            <w:r>
              <w:rPr>
                <w:color w:val="000000"/>
              </w:rPr>
              <w:t>Ilgalaikio materialiojo turto einamasis remontas</w:t>
            </w:r>
          </w:p>
        </w:tc>
      </w:tr>
      <w:tr w:rsidR="0072589A" w14:paraId="7ED535C0" w14:textId="77777777">
        <w:tc>
          <w:tcPr>
            <w:tcW w:w="3468" w:type="dxa"/>
          </w:tcPr>
          <w:p w14:paraId="7ED535BE" w14:textId="77777777" w:rsidR="0072589A" w:rsidRDefault="00B4285A">
            <w:pPr>
              <w:widowControl w:val="0"/>
              <w:tabs>
                <w:tab w:val="left" w:pos="1640"/>
              </w:tabs>
              <w:suppressAutoHyphens/>
              <w:ind w:firstLine="567"/>
              <w:rPr>
                <w:color w:val="000000"/>
              </w:rPr>
            </w:pPr>
            <w:r>
              <w:rPr>
                <w:color w:val="000000"/>
              </w:rPr>
              <w:t>2.2.1.1.1.16.</w:t>
            </w:r>
          </w:p>
        </w:tc>
        <w:tc>
          <w:tcPr>
            <w:tcW w:w="5602" w:type="dxa"/>
          </w:tcPr>
          <w:p w14:paraId="7ED535BF" w14:textId="77777777" w:rsidR="0072589A" w:rsidRDefault="00B4285A">
            <w:pPr>
              <w:widowControl w:val="0"/>
              <w:tabs>
                <w:tab w:val="left" w:pos="1640"/>
              </w:tabs>
              <w:suppressAutoHyphens/>
              <w:rPr>
                <w:color w:val="000000"/>
              </w:rPr>
            </w:pPr>
            <w:r>
              <w:rPr>
                <w:color w:val="000000"/>
              </w:rPr>
              <w:t>Kvalifikacijos kėlimas</w:t>
            </w:r>
          </w:p>
        </w:tc>
      </w:tr>
      <w:tr w:rsidR="0072589A" w14:paraId="7ED535C3" w14:textId="77777777">
        <w:tc>
          <w:tcPr>
            <w:tcW w:w="3468" w:type="dxa"/>
          </w:tcPr>
          <w:p w14:paraId="7ED535C1" w14:textId="77777777" w:rsidR="0072589A" w:rsidRDefault="00B4285A">
            <w:pPr>
              <w:widowControl w:val="0"/>
              <w:tabs>
                <w:tab w:val="left" w:pos="1640"/>
              </w:tabs>
              <w:suppressAutoHyphens/>
              <w:ind w:firstLine="567"/>
              <w:rPr>
                <w:color w:val="000000"/>
              </w:rPr>
            </w:pPr>
            <w:r>
              <w:rPr>
                <w:color w:val="000000"/>
              </w:rPr>
              <w:t>2.2.1.1.1.17.</w:t>
            </w:r>
          </w:p>
        </w:tc>
        <w:tc>
          <w:tcPr>
            <w:tcW w:w="5602" w:type="dxa"/>
          </w:tcPr>
          <w:p w14:paraId="7ED535C2" w14:textId="77777777" w:rsidR="0072589A" w:rsidRDefault="00B4285A">
            <w:pPr>
              <w:widowControl w:val="0"/>
              <w:tabs>
                <w:tab w:val="left" w:pos="1640"/>
              </w:tabs>
              <w:suppressAutoHyphens/>
              <w:rPr>
                <w:color w:val="000000"/>
              </w:rPr>
            </w:pPr>
            <w:r>
              <w:rPr>
                <w:color w:val="000000"/>
              </w:rPr>
              <w:t xml:space="preserve">Apmokėjimas samdomiems ekspertams, </w:t>
            </w:r>
            <w:r>
              <w:rPr>
                <w:color w:val="000000"/>
              </w:rPr>
              <w:t>konsultantams ir komisinių išlaidos</w:t>
            </w:r>
          </w:p>
        </w:tc>
      </w:tr>
      <w:tr w:rsidR="0072589A" w14:paraId="7ED535C6" w14:textId="77777777">
        <w:tc>
          <w:tcPr>
            <w:tcW w:w="3468" w:type="dxa"/>
          </w:tcPr>
          <w:p w14:paraId="7ED535C4" w14:textId="77777777" w:rsidR="0072589A" w:rsidRDefault="00B4285A">
            <w:pPr>
              <w:widowControl w:val="0"/>
              <w:tabs>
                <w:tab w:val="left" w:pos="1640"/>
              </w:tabs>
              <w:suppressAutoHyphens/>
              <w:ind w:firstLine="567"/>
              <w:rPr>
                <w:color w:val="000000"/>
              </w:rPr>
            </w:pPr>
            <w:r>
              <w:rPr>
                <w:color w:val="000000"/>
              </w:rPr>
              <w:t>2.2.1.1.1.18.</w:t>
            </w:r>
          </w:p>
        </w:tc>
        <w:tc>
          <w:tcPr>
            <w:tcW w:w="5602" w:type="dxa"/>
          </w:tcPr>
          <w:p w14:paraId="7ED535C5" w14:textId="77777777" w:rsidR="0072589A" w:rsidRDefault="00B4285A">
            <w:pPr>
              <w:widowControl w:val="0"/>
              <w:tabs>
                <w:tab w:val="left" w:pos="1640"/>
              </w:tabs>
              <w:suppressAutoHyphens/>
              <w:rPr>
                <w:color w:val="000000"/>
              </w:rPr>
            </w:pPr>
            <w:r>
              <w:rPr>
                <w:color w:val="000000"/>
              </w:rPr>
              <w:t>Apmokėjimas už turto vertinimo paslaugas</w:t>
            </w:r>
          </w:p>
        </w:tc>
      </w:tr>
      <w:tr w:rsidR="0072589A" w14:paraId="7ED535C9" w14:textId="77777777">
        <w:tc>
          <w:tcPr>
            <w:tcW w:w="3468" w:type="dxa"/>
          </w:tcPr>
          <w:p w14:paraId="7ED535C7" w14:textId="77777777" w:rsidR="0072589A" w:rsidRDefault="00B4285A">
            <w:pPr>
              <w:widowControl w:val="0"/>
              <w:tabs>
                <w:tab w:val="left" w:pos="1640"/>
              </w:tabs>
              <w:suppressAutoHyphens/>
              <w:ind w:firstLine="567"/>
              <w:rPr>
                <w:color w:val="000000"/>
              </w:rPr>
            </w:pPr>
            <w:r>
              <w:rPr>
                <w:color w:val="000000"/>
              </w:rPr>
              <w:t>2.2.1.1.1.19.</w:t>
            </w:r>
          </w:p>
        </w:tc>
        <w:tc>
          <w:tcPr>
            <w:tcW w:w="5602" w:type="dxa"/>
          </w:tcPr>
          <w:p w14:paraId="7ED535C8" w14:textId="77777777" w:rsidR="0072589A" w:rsidRDefault="00B4285A">
            <w:pPr>
              <w:widowControl w:val="0"/>
              <w:tabs>
                <w:tab w:val="left" w:pos="1640"/>
              </w:tabs>
              <w:suppressAutoHyphens/>
              <w:rPr>
                <w:color w:val="000000"/>
              </w:rPr>
            </w:pPr>
            <w:r>
              <w:rPr>
                <w:color w:val="000000"/>
              </w:rPr>
              <w:t>Veiklos nuoma</w:t>
            </w:r>
          </w:p>
        </w:tc>
      </w:tr>
      <w:tr w:rsidR="0072589A" w14:paraId="7ED535CC" w14:textId="77777777">
        <w:tc>
          <w:tcPr>
            <w:tcW w:w="3468" w:type="dxa"/>
          </w:tcPr>
          <w:p w14:paraId="7ED535CA" w14:textId="77777777" w:rsidR="0072589A" w:rsidRDefault="00B4285A">
            <w:pPr>
              <w:widowControl w:val="0"/>
              <w:tabs>
                <w:tab w:val="left" w:pos="1640"/>
              </w:tabs>
              <w:suppressAutoHyphens/>
              <w:ind w:firstLine="567"/>
              <w:rPr>
                <w:color w:val="000000"/>
              </w:rPr>
            </w:pPr>
            <w:r>
              <w:rPr>
                <w:color w:val="000000"/>
              </w:rPr>
              <w:t>2.2.1.1.1.20.</w:t>
            </w:r>
          </w:p>
        </w:tc>
        <w:tc>
          <w:tcPr>
            <w:tcW w:w="5602" w:type="dxa"/>
          </w:tcPr>
          <w:p w14:paraId="7ED535CB" w14:textId="77777777" w:rsidR="0072589A" w:rsidRDefault="00B4285A">
            <w:pPr>
              <w:widowControl w:val="0"/>
              <w:tabs>
                <w:tab w:val="left" w:pos="1640"/>
              </w:tabs>
              <w:suppressAutoHyphens/>
              <w:rPr>
                <w:color w:val="000000"/>
              </w:rPr>
            </w:pPr>
            <w:r>
              <w:rPr>
                <w:color w:val="000000"/>
              </w:rPr>
              <w:t>Komunalinės paslaugos</w:t>
            </w:r>
          </w:p>
        </w:tc>
      </w:tr>
      <w:tr w:rsidR="0072589A" w14:paraId="7ED535CF" w14:textId="77777777">
        <w:tc>
          <w:tcPr>
            <w:tcW w:w="3468" w:type="dxa"/>
          </w:tcPr>
          <w:p w14:paraId="7ED535CD" w14:textId="77777777" w:rsidR="0072589A" w:rsidRDefault="00B4285A">
            <w:pPr>
              <w:widowControl w:val="0"/>
              <w:tabs>
                <w:tab w:val="left" w:pos="1640"/>
              </w:tabs>
              <w:suppressAutoHyphens/>
              <w:ind w:firstLine="567"/>
              <w:rPr>
                <w:color w:val="000000"/>
              </w:rPr>
            </w:pPr>
            <w:r>
              <w:rPr>
                <w:color w:val="000000"/>
              </w:rPr>
              <w:t>2.2.1.1.1.30.</w:t>
            </w:r>
          </w:p>
        </w:tc>
        <w:tc>
          <w:tcPr>
            <w:tcW w:w="5602" w:type="dxa"/>
          </w:tcPr>
          <w:p w14:paraId="7ED535CE" w14:textId="77777777" w:rsidR="0072589A" w:rsidRDefault="00B4285A">
            <w:pPr>
              <w:widowControl w:val="0"/>
              <w:tabs>
                <w:tab w:val="left" w:pos="1640"/>
              </w:tabs>
              <w:suppressAutoHyphens/>
              <w:rPr>
                <w:color w:val="000000"/>
              </w:rPr>
            </w:pPr>
            <w:r>
              <w:rPr>
                <w:color w:val="000000"/>
              </w:rPr>
              <w:t>Kitos paslaugos“</w:t>
            </w:r>
          </w:p>
        </w:tc>
      </w:tr>
    </w:tbl>
    <w:p w14:paraId="7ED535D0" w14:textId="77777777" w:rsidR="0072589A" w:rsidRDefault="00B4285A">
      <w:pPr>
        <w:widowControl w:val="0"/>
        <w:tabs>
          <w:tab w:val="left" w:pos="1640"/>
        </w:tabs>
        <w:suppressAutoHyphens/>
        <w:ind w:firstLine="567"/>
        <w:jc w:val="both"/>
        <w:rPr>
          <w:color w:val="000000"/>
        </w:rPr>
      </w:pPr>
    </w:p>
    <w:p w14:paraId="7ED535D1" w14:textId="77777777" w:rsidR="0072589A" w:rsidRDefault="00B4285A">
      <w:pPr>
        <w:widowControl w:val="0"/>
        <w:suppressAutoHyphens/>
        <w:ind w:firstLine="567"/>
        <w:jc w:val="both"/>
        <w:rPr>
          <w:color w:val="000000"/>
          <w:spacing w:val="-6"/>
        </w:rPr>
      </w:pPr>
      <w:r>
        <w:rPr>
          <w:color w:val="000000"/>
          <w:spacing w:val="-6"/>
        </w:rPr>
        <w:t>2</w:t>
      </w:r>
      <w:r>
        <w:rPr>
          <w:color w:val="000000"/>
          <w:spacing w:val="-6"/>
        </w:rPr>
        <w:t xml:space="preserve">. Išdėstau 1 priedo „Lietuvos Respublikos valstybės ir </w:t>
      </w:r>
      <w:r>
        <w:rPr>
          <w:color w:val="000000"/>
          <w:spacing w:val="-6"/>
        </w:rPr>
        <w:t>savivaldybių biudžetų pajamų ir išlaidų klasifikacijos paaiškinimai“ II skyriaus „Valstybės ir savivaldybių biudžetų išlaidų ekonominė klasifikacija“ pastraipą „2.2. Prekių ir paslaugų naudojimas“ taip:</w:t>
      </w:r>
    </w:p>
    <w:p w14:paraId="7ED535D2" w14:textId="77777777" w:rsidR="0072589A" w:rsidRDefault="00B4285A">
      <w:pPr>
        <w:widowControl w:val="0"/>
        <w:suppressAutoHyphens/>
        <w:ind w:firstLine="567"/>
        <w:jc w:val="both"/>
        <w:rPr>
          <w:color w:val="000000"/>
        </w:rPr>
      </w:pPr>
      <w:r>
        <w:rPr>
          <w:color w:val="000000"/>
        </w:rPr>
        <w:t>„</w:t>
      </w:r>
      <w:r>
        <w:rPr>
          <w:color w:val="000000"/>
        </w:rPr>
        <w:t>2.2</w:t>
      </w:r>
      <w:r>
        <w:rPr>
          <w:color w:val="000000"/>
        </w:rPr>
        <w:t>. Prekių ir paslaugų naudojimas.</w:t>
      </w:r>
    </w:p>
    <w:p w14:paraId="7ED535D3" w14:textId="77777777" w:rsidR="0072589A" w:rsidRDefault="00B4285A">
      <w:pPr>
        <w:widowControl w:val="0"/>
        <w:suppressAutoHyphens/>
        <w:ind w:firstLine="567"/>
        <w:jc w:val="both"/>
        <w:rPr>
          <w:color w:val="000000"/>
        </w:rPr>
      </w:pPr>
      <w:r>
        <w:rPr>
          <w:color w:val="000000"/>
        </w:rPr>
        <w:t>Šią kategoriją</w:t>
      </w:r>
      <w:r>
        <w:rPr>
          <w:color w:val="000000"/>
        </w:rPr>
        <w:t xml:space="preserve"> sudaro prekės ir paslaugos, sunaudotos prekių gamybai ir paslaugų teikimui (tai yra valstybės ir savivaldybių institucijų ir biudžetinių įstaigų išlaikymo išlaidos). Neįtraukiamos prekės, įsigytos kaip ilgalaikis turtas, prekės ir paslaugos, panaudotos ma</w:t>
      </w:r>
      <w:r>
        <w:rPr>
          <w:color w:val="000000"/>
        </w:rPr>
        <w:t>terialiajam ir nematerialiajam turtui sukurti, įsigytos strateginėms arba neliečiamosioms atsargoms padidinti.</w:t>
      </w:r>
    </w:p>
    <w:p w14:paraId="7ED535D4" w14:textId="77777777" w:rsidR="0072589A" w:rsidRDefault="00B4285A">
      <w:pPr>
        <w:widowControl w:val="0"/>
        <w:suppressAutoHyphens/>
        <w:ind w:firstLine="567"/>
        <w:jc w:val="both"/>
        <w:rPr>
          <w:color w:val="000000"/>
        </w:rPr>
      </w:pPr>
      <w:r>
        <w:rPr>
          <w:color w:val="000000"/>
        </w:rPr>
        <w:t>Ilgalaikio turto įsigijimo išlaidos arba išlaidos prekėms ir paslaugoms, panaudotoms valstybės kapitalui kurti, pavyzdžiui, statyti pastatams, ku</w:t>
      </w:r>
      <w:r>
        <w:rPr>
          <w:color w:val="000000"/>
        </w:rPr>
        <w:t xml:space="preserve">riais naudosis pati valstybė, </w:t>
      </w:r>
      <w:r>
        <w:rPr>
          <w:color w:val="000000"/>
        </w:rPr>
        <w:lastRenderedPageBreak/>
        <w:t>klasifikuojamos kaip materialiojo arba nematerialiojo turto įsigijimas. Išlaidos nebrangiam ilgą laiką naudotinam turtui, kaip darbo įrankiai, įsigyti, kai jos daromos reguliariai ir yra nedidelės, palyginti su išlaidomis maši</w:t>
      </w:r>
      <w:r>
        <w:rPr>
          <w:color w:val="000000"/>
        </w:rPr>
        <w:t>noms ir įrenginiams įsigyti, traktuojamos kaip prekių ir paslaugų naudojimo išlaidos.</w:t>
      </w:r>
    </w:p>
    <w:p w14:paraId="7ED535D5" w14:textId="77777777" w:rsidR="0072589A" w:rsidRDefault="00B4285A">
      <w:pPr>
        <w:widowControl w:val="0"/>
        <w:suppressAutoHyphens/>
        <w:ind w:firstLine="567"/>
        <w:jc w:val="both"/>
        <w:rPr>
          <w:color w:val="000000"/>
        </w:rPr>
      </w:pPr>
      <w:r>
        <w:rPr>
          <w:color w:val="000000"/>
        </w:rPr>
        <w:t>Prekės ir paslaugos, sunaudotos ilgalaikio turto priežiūrai ir remontui, priskiriamos prekių ir paslaugų naudojimo išlaidoms. Ilgalaikio turto priežiūra ir remontas išsis</w:t>
      </w:r>
      <w:r>
        <w:rPr>
          <w:color w:val="000000"/>
        </w:rPr>
        <w:t>kiria dviem ypatybėmis:</w:t>
      </w:r>
    </w:p>
    <w:p w14:paraId="7ED535D6" w14:textId="77777777" w:rsidR="0072589A" w:rsidRDefault="00B4285A">
      <w:pPr>
        <w:widowControl w:val="0"/>
        <w:suppressAutoHyphens/>
        <w:ind w:firstLine="567"/>
        <w:jc w:val="both"/>
        <w:rPr>
          <w:color w:val="000000"/>
        </w:rPr>
      </w:pPr>
      <w:r>
        <w:rPr>
          <w:color w:val="000000"/>
        </w:rPr>
        <w:t>priežiūrą ir einamąjį remontą turi periodiškai atlikti jo savininkai arba kiti naudotojai, kad galėtų naudoti šį turtą jo numatyto tarnavimo laikotarpiu;</w:t>
      </w:r>
    </w:p>
    <w:p w14:paraId="7ED535D7" w14:textId="77777777" w:rsidR="0072589A" w:rsidRDefault="00B4285A">
      <w:pPr>
        <w:widowControl w:val="0"/>
        <w:suppressAutoHyphens/>
        <w:ind w:firstLine="567"/>
        <w:jc w:val="both"/>
        <w:rPr>
          <w:color w:val="000000"/>
        </w:rPr>
      </w:pPr>
      <w:r>
        <w:rPr>
          <w:color w:val="000000"/>
        </w:rPr>
        <w:t>priežiūra ir remontas nekeičia ilgalaikio turto vertės arba jo naudingųjų savy</w:t>
      </w:r>
      <w:r>
        <w:rPr>
          <w:color w:val="000000"/>
        </w:rPr>
        <w:t>bių, bet palaiko jo gerą būklę arba atkuria jo ankstesnę būklę.</w:t>
      </w:r>
    </w:p>
    <w:p w14:paraId="7ED535D8" w14:textId="77777777" w:rsidR="0072589A" w:rsidRDefault="00B4285A">
      <w:pPr>
        <w:widowControl w:val="0"/>
        <w:suppressAutoHyphens/>
        <w:ind w:firstLine="567"/>
        <w:jc w:val="both"/>
        <w:rPr>
          <w:color w:val="000000"/>
        </w:rPr>
      </w:pPr>
      <w:r>
        <w:rPr>
          <w:color w:val="000000"/>
        </w:rPr>
        <w:t>Prekių ir paslaugų panaudojimas moksliniams tyrimams, personalo mokymui, rinkos tyrimui ir panašiai veiklai laikomas prekių ir paslaugų naudojimu, o ne nematerialiojo turto įsigijimu, net jeig</w:t>
      </w:r>
      <w:r>
        <w:rPr>
          <w:color w:val="000000"/>
        </w:rPr>
        <w:t>u kai kurios išlaidos gali sukurti naudą ilgiau nei vieniems metams. Medžiagų įsigijimas nacionalinės valiutos monetų arba banknotų gamybai arba mokėjimas rangovams, gaminantiems valiutą, taip pat laikomas prekių ir paslaugų naudojimu.</w:t>
      </w:r>
    </w:p>
    <w:p w14:paraId="7ED535D9" w14:textId="77777777" w:rsidR="0072589A" w:rsidRDefault="00B4285A">
      <w:pPr>
        <w:widowControl w:val="0"/>
        <w:suppressAutoHyphens/>
        <w:ind w:firstLine="567"/>
        <w:jc w:val="both"/>
        <w:rPr>
          <w:color w:val="000000"/>
        </w:rPr>
      </w:pPr>
      <w:r>
        <w:rPr>
          <w:color w:val="000000"/>
        </w:rPr>
        <w:t>Į prekių ir paslaugų</w:t>
      </w:r>
      <w:r>
        <w:rPr>
          <w:color w:val="000000"/>
        </w:rPr>
        <w:t xml:space="preserve"> naudojimo kategoriją įtraukiamas ginklų (raketų, raketinių ginklų ir kovinių galvučių) ir įrangos, naudojamos šiems ginklams tiekti (pvz., įrenginių raketoms paleisti, karinių laivų, povandeninių laivų ir tankų), įsigijimas. Objektų, kuriuos galima panaud</w:t>
      </w:r>
      <w:r>
        <w:rPr>
          <w:color w:val="000000"/>
        </w:rPr>
        <w:t>oti ir civiliniais, ir kariniais tikslais, pavyzdžiui, karinių aerodromų, dokų, karo specialiųjų mokyklų, ligoninių ir buveinių, įrangos įsigijimas laikomas ilgalaikio turto įsigijimu. Policijos ir vidaus saugumo tarnybų įsigyti ginklai arba šarvuotos tran</w:t>
      </w:r>
      <w:r>
        <w:rPr>
          <w:color w:val="000000"/>
        </w:rPr>
        <w:t>sporto priemonės laikomos įsigytu ilgalaikiu turtu, net jeigu išlaidos tokiai pat įrangai kariniais tikslais būtų traktuojamos kaip prekių ir paslaugų naudojimo išlaidos.</w:t>
      </w:r>
    </w:p>
    <w:p w14:paraId="7ED535DA" w14:textId="77777777" w:rsidR="0072589A" w:rsidRDefault="00B4285A">
      <w:pPr>
        <w:widowControl w:val="0"/>
        <w:suppressAutoHyphens/>
        <w:ind w:firstLine="567"/>
        <w:jc w:val="both"/>
        <w:rPr>
          <w:color w:val="000000"/>
        </w:rPr>
      </w:pPr>
      <w:r>
        <w:rPr>
          <w:color w:val="000000"/>
        </w:rPr>
        <w:t>Veiklos nuoma taip pat priskiriama prekių ir paslaugų naudojimui. Veiklos nuoma – tai</w:t>
      </w:r>
      <w:r>
        <w:rPr>
          <w:color w:val="000000"/>
        </w:rPr>
        <w:t xml:space="preserve"> nuomos sandoris, kai finansinės nuomos (lizingo) bendrovė įsigyja kliento pageidaujamą ilgalaikį materialųjį arba nematerialųjį turtą ir perduoda jį klientui naudotis iš anksto sutartam laikotarpiui. Pasibaigus sutarčiai, klientas gali pasirinkti: grąžint</w:t>
      </w:r>
      <w:r>
        <w:rPr>
          <w:color w:val="000000"/>
        </w:rPr>
        <w:t>i turtą finansinės nuomos (lizingo) bendrovei, pratęsti nuomos sutartį ar sudaryti sutartį kitam turtui.</w:t>
      </w:r>
    </w:p>
    <w:p w14:paraId="7ED535DB" w14:textId="77777777" w:rsidR="0072589A" w:rsidRDefault="00B4285A">
      <w:pPr>
        <w:widowControl w:val="0"/>
        <w:suppressAutoHyphens/>
        <w:ind w:firstLine="567"/>
        <w:jc w:val="both"/>
        <w:rPr>
          <w:color w:val="000000"/>
        </w:rPr>
      </w:pPr>
      <w:r>
        <w:rPr>
          <w:color w:val="000000"/>
        </w:rPr>
        <w:t>Prekių ir paslaugų naudojimo išlaidas sudaro šie išlaidų straipsniai:</w:t>
      </w:r>
    </w:p>
    <w:p w14:paraId="7ED535DC" w14:textId="77777777" w:rsidR="0072589A" w:rsidRDefault="00B4285A">
      <w:pPr>
        <w:widowControl w:val="0"/>
        <w:suppressAutoHyphens/>
        <w:ind w:firstLine="567"/>
        <w:jc w:val="both"/>
        <w:rPr>
          <w:color w:val="000000"/>
        </w:rPr>
      </w:pPr>
      <w:r>
        <w:rPr>
          <w:color w:val="000000"/>
        </w:rPr>
        <w:t>2.2.1.1.1.01</w:t>
      </w:r>
      <w:r>
        <w:rPr>
          <w:color w:val="000000"/>
        </w:rPr>
        <w:t>. Mityba. Maisto produktų įsigijimo ir jų gamybos išlaidos. Šias iš</w:t>
      </w:r>
      <w:r>
        <w:rPr>
          <w:color w:val="000000"/>
        </w:rPr>
        <w:t>laidas numato įstaigos, kurių veikla susijusi su maitinimo paslaugų teikimu;</w:t>
      </w:r>
    </w:p>
    <w:p w14:paraId="7ED535DD" w14:textId="77777777" w:rsidR="0072589A" w:rsidRDefault="00B4285A">
      <w:pPr>
        <w:widowControl w:val="0"/>
        <w:suppressAutoHyphens/>
        <w:ind w:firstLine="567"/>
        <w:jc w:val="both"/>
        <w:rPr>
          <w:color w:val="000000"/>
        </w:rPr>
      </w:pPr>
      <w:r>
        <w:rPr>
          <w:color w:val="000000"/>
        </w:rPr>
        <w:t>2.2.1.1.1.02</w:t>
      </w:r>
      <w:r>
        <w:rPr>
          <w:color w:val="000000"/>
        </w:rPr>
        <w:t>. Medikamentai (ir darbuotojų sveikatos tikrinimas). Šios išlaidos apima medikamentų ir tvarsliavos įsigijimo išlaidas; vakcinų, vitaminų, dezinfekuojančių medžiag</w:t>
      </w:r>
      <w:r>
        <w:rPr>
          <w:color w:val="000000"/>
        </w:rPr>
        <w:t>ų, medicininio inventoriaus (iki 50 litų vertės) įsigijimo išlaidas; kraujo paruošimo išlaidas. Šias išlaidas numato įstaigos, kurių veikla susijusi su medikamentų naudojimu;</w:t>
      </w:r>
    </w:p>
    <w:p w14:paraId="7ED535DE" w14:textId="77777777" w:rsidR="0072589A" w:rsidRDefault="00B4285A">
      <w:pPr>
        <w:widowControl w:val="0"/>
        <w:suppressAutoHyphens/>
        <w:ind w:firstLine="567"/>
        <w:jc w:val="both"/>
        <w:rPr>
          <w:color w:val="000000"/>
        </w:rPr>
      </w:pPr>
      <w:r>
        <w:rPr>
          <w:color w:val="000000"/>
        </w:rPr>
        <w:t>2.2.1.1.1.05</w:t>
      </w:r>
      <w:r>
        <w:rPr>
          <w:color w:val="000000"/>
        </w:rPr>
        <w:t xml:space="preserve">. Ryšių paslaugos. Telefonų, interneto, faksų, radiotelefonų, </w:t>
      </w:r>
      <w:r>
        <w:rPr>
          <w:color w:val="000000"/>
        </w:rPr>
        <w:t>mobiliojo ryšio telefonų ir kitų ryšių priemonių paslaugų išlaidos, taip pat pašto siuntimo, telefono aparato linijos įrengimo išlaidos;</w:t>
      </w:r>
    </w:p>
    <w:p w14:paraId="7ED535DF" w14:textId="77777777" w:rsidR="0072589A" w:rsidRDefault="00B4285A">
      <w:pPr>
        <w:widowControl w:val="0"/>
        <w:suppressAutoHyphens/>
        <w:ind w:firstLine="567"/>
        <w:jc w:val="both"/>
        <w:rPr>
          <w:color w:val="000000"/>
        </w:rPr>
      </w:pPr>
      <w:r>
        <w:rPr>
          <w:color w:val="000000"/>
        </w:rPr>
        <w:t>2.2.1.1.1.06</w:t>
      </w:r>
      <w:r>
        <w:rPr>
          <w:color w:val="000000"/>
        </w:rPr>
        <w:t>. Transporto išlaikymas. Transporto priemonių remonto, nuomos bei transporto priemonių išlaikymo (degal</w:t>
      </w:r>
      <w:r>
        <w:rPr>
          <w:color w:val="000000"/>
        </w:rPr>
        <w:t>ai, tepalai, atsarginės dalys, padangos ir pan.) išlaidos; transporto draudimo išlaidos;</w:t>
      </w:r>
    </w:p>
    <w:p w14:paraId="7ED535E0" w14:textId="77777777" w:rsidR="0072589A" w:rsidRDefault="00B4285A">
      <w:pPr>
        <w:widowControl w:val="0"/>
        <w:suppressAutoHyphens/>
        <w:ind w:firstLine="567"/>
        <w:jc w:val="both"/>
        <w:rPr>
          <w:color w:val="000000"/>
        </w:rPr>
      </w:pPr>
      <w:r>
        <w:rPr>
          <w:color w:val="000000"/>
        </w:rPr>
        <w:t>2.2.1.1.1.07</w:t>
      </w:r>
      <w:r>
        <w:rPr>
          <w:color w:val="000000"/>
        </w:rPr>
        <w:t>. Apranga ir patalynė. Patalynės, specialių drabužių, uniformų ir kitos aprangos bei avalynės įsigijimo, skalbimo ir jos remonto išlaidos;</w:t>
      </w:r>
    </w:p>
    <w:p w14:paraId="7ED535E1" w14:textId="77777777" w:rsidR="0072589A" w:rsidRDefault="00B4285A">
      <w:pPr>
        <w:widowControl w:val="0"/>
        <w:suppressAutoHyphens/>
        <w:ind w:firstLine="567"/>
        <w:jc w:val="both"/>
        <w:rPr>
          <w:color w:val="000000"/>
          <w:spacing w:val="-4"/>
        </w:rPr>
      </w:pPr>
      <w:r>
        <w:rPr>
          <w:color w:val="000000"/>
          <w:spacing w:val="-4"/>
        </w:rPr>
        <w:t>2.2.1.1.1.</w:t>
      </w:r>
      <w:r>
        <w:rPr>
          <w:color w:val="000000"/>
          <w:spacing w:val="-4"/>
        </w:rPr>
        <w:t>08</w:t>
      </w:r>
      <w:r>
        <w:rPr>
          <w:color w:val="000000"/>
          <w:spacing w:val="-4"/>
        </w:rPr>
        <w:t>. Spaudiniai. Knygų, įskaitant knygas bibliotekų fondams, periodinių leidinių ir kitų spaudinių įsigijimo išlaidos;</w:t>
      </w:r>
    </w:p>
    <w:p w14:paraId="7ED535E2" w14:textId="77777777" w:rsidR="0072589A" w:rsidRDefault="00B4285A">
      <w:pPr>
        <w:widowControl w:val="0"/>
        <w:suppressAutoHyphens/>
        <w:ind w:firstLine="567"/>
        <w:jc w:val="both"/>
        <w:rPr>
          <w:color w:val="000000"/>
        </w:rPr>
      </w:pPr>
      <w:r>
        <w:rPr>
          <w:color w:val="000000"/>
        </w:rPr>
        <w:t>2.2.1.1.1.09</w:t>
      </w:r>
      <w:r>
        <w:rPr>
          <w:color w:val="000000"/>
        </w:rPr>
        <w:t>. Ginklai ir karinė įranga;</w:t>
      </w:r>
    </w:p>
    <w:p w14:paraId="7ED535E3" w14:textId="77777777" w:rsidR="0072589A" w:rsidRDefault="00B4285A">
      <w:pPr>
        <w:widowControl w:val="0"/>
        <w:suppressAutoHyphens/>
        <w:ind w:firstLine="567"/>
        <w:jc w:val="both"/>
        <w:rPr>
          <w:color w:val="000000"/>
        </w:rPr>
      </w:pPr>
      <w:r>
        <w:rPr>
          <w:color w:val="000000"/>
        </w:rPr>
        <w:t>2.2.1.1.1.10</w:t>
      </w:r>
      <w:r>
        <w:rPr>
          <w:color w:val="000000"/>
        </w:rPr>
        <w:t>. Kitos prekės. Šis straipsnis apima visas kitas, nepaminėtas 2.2.1.1.1.01–2</w:t>
      </w:r>
      <w:r>
        <w:rPr>
          <w:color w:val="000000"/>
        </w:rPr>
        <w:t>.2.1.1.1.09 straipsniuose, išlaidas prekėms įsigyti;</w:t>
      </w:r>
    </w:p>
    <w:p w14:paraId="7ED535E4" w14:textId="77777777" w:rsidR="0072589A" w:rsidRDefault="00B4285A">
      <w:pPr>
        <w:widowControl w:val="0"/>
        <w:suppressAutoHyphens/>
        <w:ind w:firstLine="567"/>
        <w:jc w:val="both"/>
        <w:rPr>
          <w:color w:val="000000"/>
        </w:rPr>
      </w:pPr>
      <w:r>
        <w:rPr>
          <w:color w:val="000000"/>
        </w:rPr>
        <w:t>2.2.1.1.1.11</w:t>
      </w:r>
      <w:r>
        <w:rPr>
          <w:color w:val="000000"/>
        </w:rPr>
        <w:t>. Komandiruotės (transporto, apgyvendinimo, ryšio ir kitos komandiruotės išlaidos). Komandiruočių ir tarnybinių kelionių šalies viduje ir užsienyje išlaidos. Komandiruotės metu turėtos kv</w:t>
      </w:r>
      <w:r>
        <w:rPr>
          <w:color w:val="000000"/>
        </w:rPr>
        <w:t xml:space="preserve">alifikacijos kėlimo išlaidos priskiriamos kvalifikacijos kėlimo </w:t>
      </w:r>
      <w:r>
        <w:rPr>
          <w:color w:val="000000"/>
        </w:rPr>
        <w:lastRenderedPageBreak/>
        <w:t>išlaidų straipsniui;</w:t>
      </w:r>
    </w:p>
    <w:p w14:paraId="7ED535E5" w14:textId="77777777" w:rsidR="0072589A" w:rsidRDefault="00B4285A">
      <w:pPr>
        <w:widowControl w:val="0"/>
        <w:suppressAutoHyphens/>
        <w:ind w:firstLine="567"/>
        <w:jc w:val="both"/>
        <w:rPr>
          <w:color w:val="000000"/>
        </w:rPr>
      </w:pPr>
      <w:r>
        <w:rPr>
          <w:color w:val="000000"/>
        </w:rPr>
        <w:t>2.2.1.1.1.12</w:t>
      </w:r>
      <w:r>
        <w:rPr>
          <w:color w:val="000000"/>
        </w:rPr>
        <w:t>. Miestų ir gyvenviečių viešasis ūkis. Miestų ir gyvenviečių viešojo ūkio einamosios išlaidos;</w:t>
      </w:r>
    </w:p>
    <w:p w14:paraId="7ED535E6" w14:textId="77777777" w:rsidR="0072589A" w:rsidRDefault="00B4285A">
      <w:pPr>
        <w:widowControl w:val="0"/>
        <w:suppressAutoHyphens/>
        <w:ind w:firstLine="567"/>
        <w:jc w:val="both"/>
        <w:rPr>
          <w:color w:val="000000"/>
        </w:rPr>
      </w:pPr>
      <w:r>
        <w:rPr>
          <w:color w:val="000000"/>
        </w:rPr>
        <w:t>2.2.1.1.1.14</w:t>
      </w:r>
      <w:r>
        <w:rPr>
          <w:color w:val="000000"/>
        </w:rPr>
        <w:t xml:space="preserve">. Ilgalaikio materialiojo ir nematerialiojo </w:t>
      </w:r>
      <w:r>
        <w:rPr>
          <w:color w:val="000000"/>
        </w:rPr>
        <w:t>turto nuoma. Ilgalaikio materialiojo (išskyrus transporto priemones) ir nematerialiojo turto nuomos išlaidos;</w:t>
      </w:r>
    </w:p>
    <w:p w14:paraId="7ED535E7" w14:textId="77777777" w:rsidR="0072589A" w:rsidRDefault="00B4285A">
      <w:pPr>
        <w:widowControl w:val="0"/>
        <w:suppressAutoHyphens/>
        <w:ind w:firstLine="567"/>
        <w:jc w:val="both"/>
        <w:rPr>
          <w:color w:val="000000"/>
        </w:rPr>
      </w:pPr>
      <w:r>
        <w:rPr>
          <w:color w:val="000000"/>
        </w:rPr>
        <w:t>2.2.1.1.1.15</w:t>
      </w:r>
      <w:r>
        <w:rPr>
          <w:color w:val="000000"/>
        </w:rPr>
        <w:t>. Ilgalaikio materialiojo turto einamasis remontas. Ilgalaikio materialiojo turto remonto darbų ir techninės priežiūros išlaidos;</w:t>
      </w:r>
    </w:p>
    <w:p w14:paraId="7ED535E8" w14:textId="77777777" w:rsidR="0072589A" w:rsidRDefault="00B4285A">
      <w:pPr>
        <w:widowControl w:val="0"/>
        <w:suppressAutoHyphens/>
        <w:ind w:firstLine="567"/>
        <w:jc w:val="both"/>
        <w:rPr>
          <w:color w:val="000000"/>
        </w:rPr>
      </w:pPr>
      <w:r>
        <w:rPr>
          <w:color w:val="000000"/>
        </w:rPr>
        <w:t>2.2.1.1.1.16</w:t>
      </w:r>
      <w:r>
        <w:rPr>
          <w:color w:val="000000"/>
        </w:rPr>
        <w:t xml:space="preserve">. Kvalifikacijos kėlimas. Kvalifikacijos kėlimo išlaidas į apskaitą įtraukia visos institucijos, išskyrus kvalifikacijos kėlimo įstaigas. Prie šių išlaidų taip pat priskiriamos išlaidos stažuotėms organizuoti, seminarams, konferencijoms, </w:t>
      </w:r>
      <w:r>
        <w:rPr>
          <w:color w:val="000000"/>
        </w:rPr>
        <w:t>kursams, pratyboms, paskaitoms rengti ir pan.;</w:t>
      </w:r>
    </w:p>
    <w:p w14:paraId="7ED535E9" w14:textId="77777777" w:rsidR="0072589A" w:rsidRDefault="00B4285A">
      <w:pPr>
        <w:widowControl w:val="0"/>
        <w:suppressAutoHyphens/>
        <w:ind w:firstLine="567"/>
        <w:jc w:val="both"/>
        <w:rPr>
          <w:color w:val="000000"/>
        </w:rPr>
      </w:pPr>
      <w:r>
        <w:rPr>
          <w:color w:val="000000"/>
        </w:rPr>
        <w:t>2.2.1.1.1.17</w:t>
      </w:r>
      <w:r>
        <w:rPr>
          <w:color w:val="000000"/>
        </w:rPr>
        <w:t>. Apmokėjimas samdomiems ekspertams, konsultantams ir komisinių išlaidos;</w:t>
      </w:r>
    </w:p>
    <w:p w14:paraId="7ED535EA" w14:textId="77777777" w:rsidR="0072589A" w:rsidRDefault="00B4285A">
      <w:pPr>
        <w:widowControl w:val="0"/>
        <w:suppressAutoHyphens/>
        <w:ind w:firstLine="567"/>
        <w:jc w:val="both"/>
        <w:rPr>
          <w:color w:val="000000"/>
        </w:rPr>
      </w:pPr>
      <w:r>
        <w:rPr>
          <w:color w:val="000000"/>
        </w:rPr>
        <w:t>2.2.1.1.1.18</w:t>
      </w:r>
      <w:r>
        <w:rPr>
          <w:color w:val="000000"/>
        </w:rPr>
        <w:t>. Apmokėjimas už turto vertinimo paslaugas;</w:t>
      </w:r>
    </w:p>
    <w:p w14:paraId="7ED535EB" w14:textId="77777777" w:rsidR="0072589A" w:rsidRDefault="00B4285A">
      <w:pPr>
        <w:widowControl w:val="0"/>
        <w:suppressAutoHyphens/>
        <w:ind w:firstLine="567"/>
        <w:jc w:val="both"/>
        <w:rPr>
          <w:color w:val="000000"/>
        </w:rPr>
      </w:pPr>
      <w:r>
        <w:rPr>
          <w:color w:val="000000"/>
        </w:rPr>
        <w:t>2.2.1.1.1.19</w:t>
      </w:r>
      <w:r>
        <w:rPr>
          <w:color w:val="000000"/>
        </w:rPr>
        <w:t>. Veiklos nuoma. Veiklos nuomos būdu gali b</w:t>
      </w:r>
      <w:r>
        <w:rPr>
          <w:color w:val="000000"/>
        </w:rPr>
        <w:t xml:space="preserve">ūti finansuojama: pramonės, prekybos įranga; medicininė įranga; žemės ūkio technika, įrenginiai; statybinė technika; naujos ir naudotos transporto priemonės; nekilnojamasis turtas; kompiuterinė technika, organizacinė technika (kompiuteriai, spausdintuvai, </w:t>
      </w:r>
      <w:r>
        <w:rPr>
          <w:color w:val="000000"/>
        </w:rPr>
        <w:t>monitoriai, kopijavimo aparatai ir kt.); kita;</w:t>
      </w:r>
    </w:p>
    <w:p w14:paraId="7ED535EC" w14:textId="77777777" w:rsidR="0072589A" w:rsidRDefault="00B4285A">
      <w:pPr>
        <w:widowControl w:val="0"/>
        <w:suppressAutoHyphens/>
        <w:ind w:firstLine="567"/>
        <w:jc w:val="both"/>
        <w:rPr>
          <w:color w:val="000000"/>
        </w:rPr>
      </w:pPr>
      <w:r>
        <w:rPr>
          <w:color w:val="000000"/>
        </w:rPr>
        <w:t>2.2.1.1.1.20</w:t>
      </w:r>
      <w:r>
        <w:rPr>
          <w:color w:val="000000"/>
        </w:rPr>
        <w:t>. Komunalinės paslaugos. Jos apima šildymo išlaidas, taip pat šildymui skirto skystojo ir kietojo kuro įsigijimo išlaidas (atvežimo, paruošimo); elektros energijos, skirtos apšvietimui, šildymu</w:t>
      </w:r>
      <w:r>
        <w:rPr>
          <w:color w:val="000000"/>
        </w:rPr>
        <w:t>i ir kitoms reikmėms, išlaidas ir vandentiekio ir kanalizacijos paslaugų apmokėjimo išlaidas;</w:t>
      </w:r>
    </w:p>
    <w:p w14:paraId="7ED535ED" w14:textId="77777777" w:rsidR="0072589A" w:rsidRDefault="00B4285A">
      <w:pPr>
        <w:widowControl w:val="0"/>
        <w:suppressAutoHyphens/>
        <w:ind w:firstLine="567"/>
        <w:jc w:val="both"/>
        <w:rPr>
          <w:color w:val="000000"/>
        </w:rPr>
      </w:pPr>
      <w:r>
        <w:rPr>
          <w:color w:val="000000"/>
        </w:rPr>
        <w:t>2.2.1.1.1.30</w:t>
      </w:r>
      <w:r>
        <w:rPr>
          <w:color w:val="000000"/>
        </w:rPr>
        <w:t>. Kitos paslaugos. Šis straipsnis apima visas kitas, nepaminėtas 2.2.1.1.1.11–2.2.1.1.1.20 straipsniuose, paslaugų naudojimo išlaidas.“</w:t>
      </w:r>
    </w:p>
    <w:p w14:paraId="2D1347DC" w14:textId="77777777" w:rsidR="00B4285A" w:rsidRDefault="00B4285A">
      <w:pPr>
        <w:widowControl w:val="0"/>
        <w:tabs>
          <w:tab w:val="right" w:pos="9071"/>
        </w:tabs>
        <w:suppressAutoHyphens/>
      </w:pPr>
    </w:p>
    <w:p w14:paraId="6034B894" w14:textId="77777777" w:rsidR="00B4285A" w:rsidRDefault="00B4285A">
      <w:pPr>
        <w:widowControl w:val="0"/>
        <w:tabs>
          <w:tab w:val="right" w:pos="9071"/>
        </w:tabs>
        <w:suppressAutoHyphens/>
      </w:pPr>
    </w:p>
    <w:p w14:paraId="6199FABA" w14:textId="77777777" w:rsidR="00B4285A" w:rsidRDefault="00B4285A">
      <w:pPr>
        <w:widowControl w:val="0"/>
        <w:tabs>
          <w:tab w:val="right" w:pos="9071"/>
        </w:tabs>
        <w:suppressAutoHyphens/>
      </w:pPr>
    </w:p>
    <w:p w14:paraId="7ED535EE" w14:textId="57B89B90" w:rsidR="0072589A" w:rsidRDefault="00B4285A">
      <w:pPr>
        <w:widowControl w:val="0"/>
        <w:tabs>
          <w:tab w:val="right" w:pos="9071"/>
        </w:tabs>
        <w:suppressAutoHyphens/>
        <w:rPr>
          <w:caps/>
          <w:color w:val="000000"/>
        </w:rPr>
      </w:pPr>
      <w:r>
        <w:rPr>
          <w:caps/>
          <w:color w:val="000000"/>
        </w:rPr>
        <w:t>FI</w:t>
      </w:r>
      <w:r>
        <w:rPr>
          <w:caps/>
          <w:color w:val="000000"/>
        </w:rPr>
        <w:t>NANSŲ MINISTRĖ</w:t>
      </w:r>
      <w:r>
        <w:rPr>
          <w:caps/>
          <w:color w:val="000000"/>
        </w:rPr>
        <w:tab/>
        <w:t>INGRIDA ŠIMONYTĖ</w:t>
      </w:r>
    </w:p>
    <w:p w14:paraId="7ED535EF" w14:textId="77777777" w:rsidR="0072589A" w:rsidRDefault="00B4285A"/>
    <w:sectPr w:rsidR="0072589A">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535F3" w14:textId="77777777" w:rsidR="0072589A" w:rsidRDefault="00B4285A">
      <w:r>
        <w:separator/>
      </w:r>
    </w:p>
  </w:endnote>
  <w:endnote w:type="continuationSeparator" w:id="0">
    <w:p w14:paraId="7ED535F4" w14:textId="77777777" w:rsidR="0072589A" w:rsidRDefault="00B4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35F7" w14:textId="77777777" w:rsidR="0072589A" w:rsidRDefault="0072589A">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35F8" w14:textId="77777777" w:rsidR="0072589A" w:rsidRDefault="0072589A">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35FA" w14:textId="77777777" w:rsidR="0072589A" w:rsidRDefault="0072589A">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535F1" w14:textId="77777777" w:rsidR="0072589A" w:rsidRDefault="00B4285A">
      <w:r>
        <w:separator/>
      </w:r>
    </w:p>
  </w:footnote>
  <w:footnote w:type="continuationSeparator" w:id="0">
    <w:p w14:paraId="7ED535F2" w14:textId="77777777" w:rsidR="0072589A" w:rsidRDefault="00B4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35F5" w14:textId="77777777" w:rsidR="0072589A" w:rsidRDefault="0072589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35F6" w14:textId="77777777" w:rsidR="0072589A" w:rsidRDefault="0072589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35F9" w14:textId="77777777" w:rsidR="0072589A" w:rsidRDefault="0072589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30"/>
    <w:rsid w:val="00257030"/>
    <w:rsid w:val="0072589A"/>
    <w:rsid w:val="00B428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3CF7E3F4A7D"/>
  <Relationship Id="rId11" Type="http://schemas.openxmlformats.org/officeDocument/2006/relationships/hyperlink" TargetMode="External" Target="https://www.e-tar.lt/portal/lt/legalAct/TAR.95CFC0AE8F5C"/>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5531</Words>
  <Characters>3154</Characters>
  <Application>Microsoft Office Word</Application>
  <DocSecurity>0</DocSecurity>
  <Lines>26</Lines>
  <Paragraphs>17</Paragraphs>
  <ScaleCrop>false</ScaleCrop>
  <Company/>
  <LinksUpToDate>false</LinksUpToDate>
  <CharactersWithSpaces>8668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2015-05-21T06:42:00Z</dcterms:created>
  <dc:creator>Rima</dc:creator>
  <lastModifiedBy>ŠAULYTĖ SKAIRIENĖ Dalia</lastModifiedBy>
  <dcterms:modified xsi:type="dcterms:W3CDTF">2015-05-21T06:50:00Z</dcterms:modified>
  <revision>3</revision>
  <dc:title>LIETUVOS RESPUBLIKOS FINANSŲ MINISTRO</dc:title>
</coreProperties>
</file>